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9F" w:rsidRDefault="0023789F" w:rsidP="00C8607D">
      <w:pPr>
        <w:jc w:val="both"/>
        <w:rPr>
          <w:b/>
          <w:sz w:val="23"/>
          <w:szCs w:val="23"/>
          <w:lang w:val="sr-Cyrl-CS"/>
        </w:rPr>
      </w:pPr>
      <w:bookmarkStart w:id="0" w:name="_GoBack"/>
      <w:bookmarkEnd w:id="0"/>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B0431F" w:rsidRDefault="000F232A" w:rsidP="000F232A">
      <w:pPr>
        <w:jc w:val="center"/>
        <w:rPr>
          <w:b/>
          <w:sz w:val="23"/>
          <w:szCs w:val="23"/>
          <w:lang w:val="sr-Cyrl-CS"/>
        </w:rPr>
      </w:pPr>
      <w:r>
        <w:rPr>
          <w:b/>
          <w:noProof/>
          <w:sz w:val="23"/>
          <w:szCs w:val="23"/>
        </w:rPr>
        <w:drawing>
          <wp:inline distT="0" distB="0" distL="0" distR="0">
            <wp:extent cx="1781175" cy="1798724"/>
            <wp:effectExtent l="19050" t="0" r="9525" b="0"/>
            <wp:docPr id="2" name="Picture 1" descr="C:\Documents and Settings\svetlana.drakul\My Documents\Downloads\uzice-grb-veli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drakul\My Documents\Downloads\uzice-grb-veliki.png"/>
                    <pic:cNvPicPr>
                      <a:picLocks noChangeAspect="1" noChangeArrowheads="1"/>
                    </pic:cNvPicPr>
                  </pic:nvPicPr>
                  <pic:blipFill>
                    <a:blip r:embed="rId9"/>
                    <a:srcRect/>
                    <a:stretch>
                      <a:fillRect/>
                    </a:stretch>
                  </pic:blipFill>
                  <pic:spPr bwMode="auto">
                    <a:xfrm>
                      <a:off x="0" y="0"/>
                      <a:ext cx="1781175" cy="1798724"/>
                    </a:xfrm>
                    <a:prstGeom prst="rect">
                      <a:avLst/>
                    </a:prstGeom>
                    <a:noFill/>
                    <a:ln w="9525">
                      <a:noFill/>
                      <a:miter lim="800000"/>
                      <a:headEnd/>
                      <a:tailEnd/>
                    </a:ln>
                  </pic:spPr>
                </pic:pic>
              </a:graphicData>
            </a:graphic>
          </wp:inline>
        </w:drawing>
      </w:r>
    </w:p>
    <w:p w:rsidR="00B0431F" w:rsidRDefault="00B0431F" w:rsidP="00C8607D">
      <w:pPr>
        <w:jc w:val="both"/>
        <w:rPr>
          <w:b/>
          <w:sz w:val="23"/>
          <w:szCs w:val="23"/>
          <w:lang w:val="sr-Cyrl-CS"/>
        </w:rPr>
      </w:pPr>
    </w:p>
    <w:p w:rsidR="00B0431F" w:rsidRDefault="00B0431F" w:rsidP="00C8607D">
      <w:pPr>
        <w:jc w:val="both"/>
        <w:rPr>
          <w:b/>
          <w:sz w:val="23"/>
          <w:szCs w:val="23"/>
          <w:lang w:val="sr-Cyrl-CS"/>
        </w:rPr>
      </w:pPr>
    </w:p>
    <w:p w:rsidR="00B0431F" w:rsidRDefault="00B0431F" w:rsidP="00C8607D">
      <w:pPr>
        <w:jc w:val="both"/>
        <w:rPr>
          <w:b/>
          <w:sz w:val="23"/>
          <w:szCs w:val="23"/>
          <w:lang w:val="sr-Cyrl-CS"/>
        </w:rPr>
      </w:pPr>
    </w:p>
    <w:p w:rsidR="00B0431F" w:rsidRDefault="00B0431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23789F">
      <w:pPr>
        <w:jc w:val="center"/>
        <w:rPr>
          <w:b/>
          <w:sz w:val="52"/>
          <w:szCs w:val="23"/>
          <w:lang w:val="sr-Cyrl-CS"/>
        </w:rPr>
      </w:pPr>
      <w:r w:rsidRPr="00B0431F">
        <w:rPr>
          <w:b/>
          <w:sz w:val="52"/>
          <w:szCs w:val="23"/>
          <w:lang w:val="sr-Cyrl-CS"/>
        </w:rPr>
        <w:t>ИЗВЕШТАЈ О КВАЛИТЕТУ ВАЗДУХА</w:t>
      </w:r>
      <w:r w:rsidR="00205C5A">
        <w:rPr>
          <w:b/>
          <w:sz w:val="52"/>
          <w:szCs w:val="23"/>
          <w:lang w:val="sr-Cyrl-CS"/>
        </w:rPr>
        <w:t xml:space="preserve"> </w:t>
      </w:r>
      <w:r w:rsidR="000F232A">
        <w:rPr>
          <w:b/>
          <w:sz w:val="52"/>
          <w:szCs w:val="23"/>
          <w:lang w:val="sr-Cyrl-CS"/>
        </w:rPr>
        <w:t>У ГРАДУ УЖИЦУ</w:t>
      </w:r>
    </w:p>
    <w:p w:rsidR="000F232A" w:rsidRPr="000F232A" w:rsidRDefault="000F232A" w:rsidP="000F232A">
      <w:pPr>
        <w:pStyle w:val="ListParagraph"/>
        <w:numPr>
          <w:ilvl w:val="0"/>
          <w:numId w:val="10"/>
        </w:numPr>
        <w:jc w:val="center"/>
        <w:rPr>
          <w:b/>
          <w:sz w:val="40"/>
          <w:szCs w:val="23"/>
          <w:lang w:val="sr-Cyrl-CS"/>
        </w:rPr>
      </w:pPr>
      <w:r w:rsidRPr="000F232A">
        <w:rPr>
          <w:b/>
          <w:sz w:val="40"/>
          <w:szCs w:val="23"/>
          <w:lang w:val="sr-Cyrl-CS"/>
        </w:rPr>
        <w:t>децембар 2016. године</w:t>
      </w:r>
      <w:r>
        <w:rPr>
          <w:b/>
          <w:sz w:val="40"/>
          <w:szCs w:val="23"/>
          <w:lang w:val="sr-Cyrl-CS"/>
        </w:rPr>
        <w:t xml:space="preserve"> -</w:t>
      </w:r>
    </w:p>
    <w:p w:rsidR="0023789F" w:rsidRPr="00B0431F" w:rsidRDefault="0023789F" w:rsidP="0023789F">
      <w:pPr>
        <w:jc w:val="center"/>
        <w:rPr>
          <w:b/>
          <w:sz w:val="56"/>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23789F" w:rsidRDefault="0023789F" w:rsidP="00C8607D">
      <w:pPr>
        <w:jc w:val="both"/>
        <w:rPr>
          <w:b/>
          <w:sz w:val="23"/>
          <w:szCs w:val="23"/>
          <w:lang w:val="sr-Cyrl-CS"/>
        </w:rPr>
      </w:pPr>
    </w:p>
    <w:p w:rsidR="00C8607D" w:rsidRPr="0034285C" w:rsidRDefault="00C8607D" w:rsidP="00C8607D">
      <w:pPr>
        <w:jc w:val="both"/>
        <w:rPr>
          <w:b/>
          <w:sz w:val="23"/>
          <w:szCs w:val="23"/>
          <w:lang w:val="sr-Cyrl-CS"/>
        </w:rPr>
      </w:pPr>
      <w:r w:rsidRPr="0034285C">
        <w:rPr>
          <w:b/>
          <w:sz w:val="23"/>
          <w:szCs w:val="23"/>
          <w:lang w:val="sr-Cyrl-CS"/>
        </w:rPr>
        <w:lastRenderedPageBreak/>
        <w:t>1. МРЕЖА МОНИТОРИНГА КВАЛИТЕТА ВАЗДУХА</w:t>
      </w:r>
    </w:p>
    <w:p w:rsidR="00C8607D" w:rsidRPr="00281DE8" w:rsidRDefault="00C8607D" w:rsidP="00C8607D">
      <w:pPr>
        <w:jc w:val="both"/>
        <w:rPr>
          <w:color w:val="FF0000"/>
          <w:sz w:val="23"/>
          <w:szCs w:val="23"/>
          <w:lang w:val="sr-Cyrl-CS"/>
        </w:rPr>
      </w:pPr>
    </w:p>
    <w:p w:rsidR="00C8607D" w:rsidRPr="00583E55" w:rsidRDefault="00C8607D" w:rsidP="00C8607D">
      <w:pPr>
        <w:jc w:val="both"/>
        <w:rPr>
          <w:sz w:val="23"/>
          <w:szCs w:val="23"/>
          <w:lang w:val="sr-Cyrl-CS"/>
        </w:rPr>
      </w:pPr>
      <w:r w:rsidRPr="00583E55">
        <w:rPr>
          <w:sz w:val="23"/>
          <w:szCs w:val="23"/>
          <w:lang w:val="sr-Cyrl-CS"/>
        </w:rPr>
        <w:t xml:space="preserve">Квалитет ваздуха у Ужицу прати се више од 20 година. Праћење квалитета ваздуха на територији града Ужица спроводи се </w:t>
      </w:r>
      <w:r w:rsidR="00082C4A" w:rsidRPr="00082C4A">
        <w:rPr>
          <w:sz w:val="23"/>
          <w:szCs w:val="23"/>
          <w:lang w:val="sr-Cyrl-CS"/>
        </w:rPr>
        <w:t>у складу са Закон</w:t>
      </w:r>
      <w:r w:rsidR="00082C4A">
        <w:rPr>
          <w:sz w:val="23"/>
          <w:szCs w:val="23"/>
          <w:lang w:val="sr-Cyrl-CS"/>
        </w:rPr>
        <w:t>ом</w:t>
      </w:r>
      <w:r w:rsidR="00082C4A" w:rsidRPr="00082C4A">
        <w:rPr>
          <w:sz w:val="23"/>
          <w:szCs w:val="23"/>
          <w:lang w:val="sr-Cyrl-CS"/>
        </w:rPr>
        <w:t xml:space="preserve"> о заштити ваздуха</w:t>
      </w:r>
      <w:r w:rsidR="00082C4A">
        <w:rPr>
          <w:sz w:val="23"/>
          <w:szCs w:val="23"/>
          <w:lang w:val="sr-Cyrl-CS"/>
        </w:rPr>
        <w:t>,</w:t>
      </w:r>
      <w:r w:rsidR="00082C4A" w:rsidRPr="00082C4A">
        <w:rPr>
          <w:sz w:val="23"/>
          <w:szCs w:val="23"/>
          <w:lang w:val="sr-Cyrl-CS"/>
        </w:rPr>
        <w:t xml:space="preserve"> Уредбом о условима за мониторинг и захтевима квалитета ваздуха (</w:t>
      </w:r>
      <w:r w:rsidR="00082C4A">
        <w:rPr>
          <w:sz w:val="23"/>
          <w:szCs w:val="23"/>
          <w:lang w:val="sr-Cyrl-CS"/>
        </w:rPr>
        <w:t>„</w:t>
      </w:r>
      <w:r w:rsidR="00082C4A" w:rsidRPr="00082C4A">
        <w:rPr>
          <w:sz w:val="23"/>
          <w:szCs w:val="23"/>
          <w:lang w:val="sr-Cyrl-CS"/>
        </w:rPr>
        <w:t>Сл. гласник РС</w:t>
      </w:r>
      <w:r w:rsidR="00082C4A">
        <w:rPr>
          <w:sz w:val="23"/>
          <w:szCs w:val="23"/>
          <w:lang w:val="sr-Cyrl-CS"/>
        </w:rPr>
        <w:t>“</w:t>
      </w:r>
      <w:r w:rsidR="00082C4A" w:rsidRPr="00082C4A">
        <w:rPr>
          <w:sz w:val="23"/>
          <w:szCs w:val="23"/>
          <w:lang w:val="sr-Cyrl-CS"/>
        </w:rPr>
        <w:t>, бр. 11/10, 75/10 и 63/13)</w:t>
      </w:r>
      <w:r w:rsidR="00082C4A">
        <w:rPr>
          <w:sz w:val="23"/>
          <w:szCs w:val="23"/>
          <w:lang w:val="sr-Cyrl-CS"/>
        </w:rPr>
        <w:t xml:space="preserve"> и</w:t>
      </w:r>
      <w:r w:rsidR="00082C4A" w:rsidRPr="00082C4A">
        <w:rPr>
          <w:sz w:val="23"/>
          <w:szCs w:val="23"/>
          <w:lang w:val="sr-Cyrl-CS"/>
        </w:rPr>
        <w:t xml:space="preserve"> Уредбом о утврђивању програма квалитета ваздуха у државној мрежи (</w:t>
      </w:r>
      <w:r w:rsidR="00082C4A">
        <w:rPr>
          <w:sz w:val="23"/>
          <w:szCs w:val="23"/>
          <w:lang w:val="sr-Cyrl-CS"/>
        </w:rPr>
        <w:t>„</w:t>
      </w:r>
      <w:r w:rsidR="00082C4A" w:rsidRPr="00082C4A">
        <w:rPr>
          <w:sz w:val="23"/>
          <w:szCs w:val="23"/>
          <w:lang w:val="sr-Cyrl-CS"/>
        </w:rPr>
        <w:t>Сл. гласник РС</w:t>
      </w:r>
      <w:r w:rsidR="00082C4A">
        <w:rPr>
          <w:sz w:val="23"/>
          <w:szCs w:val="23"/>
          <w:lang w:val="sr-Cyrl-CS"/>
        </w:rPr>
        <w:t>“</w:t>
      </w:r>
      <w:r w:rsidR="00082C4A" w:rsidRPr="00082C4A">
        <w:rPr>
          <w:sz w:val="23"/>
          <w:szCs w:val="23"/>
          <w:lang w:val="sr-Cyrl-CS"/>
        </w:rPr>
        <w:t>, број 58/11)</w:t>
      </w:r>
      <w:r w:rsidR="00082C4A">
        <w:rPr>
          <w:sz w:val="23"/>
          <w:szCs w:val="23"/>
          <w:lang w:val="sr-Cyrl-CS"/>
        </w:rPr>
        <w:t>, и то</w:t>
      </w:r>
      <w:r w:rsidRPr="00583E55">
        <w:rPr>
          <w:sz w:val="23"/>
          <w:szCs w:val="23"/>
          <w:lang w:val="sr-Cyrl-CS"/>
        </w:rPr>
        <w:t xml:space="preserve"> оквиру </w:t>
      </w:r>
      <w:r w:rsidRPr="00583E55">
        <w:rPr>
          <w:b/>
          <w:sz w:val="23"/>
          <w:szCs w:val="23"/>
          <w:u w:val="single"/>
          <w:lang w:val="sr-Cyrl-CS"/>
        </w:rPr>
        <w:t>државне мреже станица</w:t>
      </w:r>
      <w:r w:rsidRPr="00583E55">
        <w:rPr>
          <w:sz w:val="23"/>
          <w:szCs w:val="23"/>
          <w:lang w:val="sr-Cyrl-CS"/>
        </w:rPr>
        <w:t xml:space="preserve"> </w:t>
      </w:r>
      <w:r>
        <w:rPr>
          <w:sz w:val="23"/>
          <w:szCs w:val="23"/>
          <w:lang w:val="sr-Cyrl-CS"/>
        </w:rPr>
        <w:t xml:space="preserve">на три локације: </w:t>
      </w:r>
      <w:r w:rsidRPr="00ED0E3B">
        <w:rPr>
          <w:sz w:val="23"/>
          <w:szCs w:val="23"/>
          <w:lang w:val="sr-Latn-CS"/>
        </w:rPr>
        <w:t>Ужице</w:t>
      </w:r>
      <w:r w:rsidRPr="00ED0E3B">
        <w:rPr>
          <w:sz w:val="23"/>
          <w:szCs w:val="23"/>
          <w:lang w:val="sr-Cyrl-CS"/>
        </w:rPr>
        <w:t>-</w:t>
      </w:r>
      <w:r w:rsidRPr="00ED0E3B">
        <w:rPr>
          <w:sz w:val="23"/>
          <w:szCs w:val="23"/>
          <w:lang w:val="sr-Latn-CS"/>
        </w:rPr>
        <w:t>Зелена пијаца</w:t>
      </w:r>
      <w:r w:rsidRPr="00ED0E3B">
        <w:rPr>
          <w:sz w:val="23"/>
          <w:szCs w:val="23"/>
          <w:lang w:val="sr-Cyrl-CS"/>
        </w:rPr>
        <w:t xml:space="preserve">, </w:t>
      </w:r>
      <w:r w:rsidR="00341C00">
        <w:rPr>
          <w:sz w:val="23"/>
          <w:szCs w:val="23"/>
          <w:lang w:val="sr-Cyrl-CS"/>
        </w:rPr>
        <w:t xml:space="preserve">Царина вртић ''Полетарац'' </w:t>
      </w:r>
      <w:r w:rsidRPr="00ED0E3B">
        <w:rPr>
          <w:sz w:val="23"/>
          <w:szCs w:val="23"/>
          <w:lang w:val="sr-Cyrl-CS"/>
        </w:rPr>
        <w:t>и локација Аутоматске мерне станице у Омладинској улици</w:t>
      </w:r>
      <w:r w:rsidR="00082C4A">
        <w:rPr>
          <w:sz w:val="23"/>
          <w:szCs w:val="23"/>
          <w:lang w:val="sr-Cyrl-CS"/>
        </w:rPr>
        <w:t xml:space="preserve">, и у оквиру </w:t>
      </w:r>
      <w:r w:rsidRPr="00583E55">
        <w:rPr>
          <w:sz w:val="23"/>
          <w:szCs w:val="23"/>
          <w:lang w:val="sr-Cyrl-CS"/>
        </w:rPr>
        <w:t xml:space="preserve"> </w:t>
      </w:r>
    </w:p>
    <w:p w:rsidR="00C8607D" w:rsidRPr="00ED0E3B" w:rsidRDefault="00C8607D" w:rsidP="00C8607D">
      <w:pPr>
        <w:ind w:right="-73"/>
        <w:jc w:val="both"/>
        <w:rPr>
          <w:sz w:val="23"/>
          <w:szCs w:val="23"/>
          <w:lang w:val="sr-Cyrl-CS"/>
        </w:rPr>
      </w:pPr>
      <w:r w:rsidRPr="004C6927">
        <w:rPr>
          <w:b/>
          <w:sz w:val="23"/>
          <w:szCs w:val="23"/>
          <w:u w:val="single"/>
          <w:lang w:val="sr-Cyrl-CS"/>
        </w:rPr>
        <w:t>локалн</w:t>
      </w:r>
      <w:r w:rsidR="00082C4A">
        <w:rPr>
          <w:b/>
          <w:sz w:val="23"/>
          <w:szCs w:val="23"/>
          <w:u w:val="single"/>
          <w:lang w:val="sr-Cyrl-CS"/>
        </w:rPr>
        <w:t>е</w:t>
      </w:r>
      <w:r w:rsidRPr="004C6927">
        <w:rPr>
          <w:b/>
          <w:sz w:val="23"/>
          <w:szCs w:val="23"/>
          <w:u w:val="single"/>
          <w:lang w:val="sr-Cyrl-CS"/>
        </w:rPr>
        <w:t xml:space="preserve"> мреж</w:t>
      </w:r>
      <w:r w:rsidR="00082C4A">
        <w:rPr>
          <w:b/>
          <w:sz w:val="23"/>
          <w:szCs w:val="23"/>
          <w:u w:val="single"/>
          <w:lang w:val="sr-Cyrl-CS"/>
        </w:rPr>
        <w:t>е</w:t>
      </w:r>
      <w:r w:rsidRPr="004C6927">
        <w:rPr>
          <w:b/>
          <w:sz w:val="23"/>
          <w:szCs w:val="23"/>
          <w:u w:val="single"/>
          <w:lang w:val="sr-Cyrl-CS"/>
        </w:rPr>
        <w:t xml:space="preserve"> станица</w:t>
      </w:r>
      <w:r w:rsidRPr="00ED0E3B">
        <w:rPr>
          <w:sz w:val="23"/>
          <w:szCs w:val="23"/>
          <w:lang w:val="sr-Cyrl-CS"/>
        </w:rPr>
        <w:t xml:space="preserve"> за праћење квалитета ваздуха на локацијама </w:t>
      </w:r>
      <w:r w:rsidRPr="00ED0E3B">
        <w:rPr>
          <w:sz w:val="23"/>
          <w:szCs w:val="23"/>
          <w:lang w:val="sr-Latn-CS"/>
        </w:rPr>
        <w:t>Севојно</w:t>
      </w:r>
      <w:r w:rsidRPr="00ED0E3B">
        <w:rPr>
          <w:b/>
          <w:sz w:val="23"/>
          <w:szCs w:val="23"/>
        </w:rPr>
        <w:t>-</w:t>
      </w:r>
      <w:r w:rsidRPr="00ED0E3B">
        <w:rPr>
          <w:bCs/>
          <w:sz w:val="23"/>
          <w:szCs w:val="23"/>
          <w:lang w:val="sr-Latn-CS"/>
        </w:rPr>
        <w:t xml:space="preserve">Дечији вртић </w:t>
      </w:r>
      <w:r w:rsidR="00082C4A">
        <w:rPr>
          <w:bCs/>
          <w:sz w:val="23"/>
          <w:szCs w:val="23"/>
        </w:rPr>
        <w:t>„</w:t>
      </w:r>
      <w:r w:rsidRPr="00ED0E3B">
        <w:rPr>
          <w:bCs/>
          <w:sz w:val="23"/>
          <w:szCs w:val="23"/>
          <w:lang w:val="sr-Latn-CS"/>
        </w:rPr>
        <w:t>Маслачак</w:t>
      </w:r>
      <w:r w:rsidR="00082C4A">
        <w:rPr>
          <w:bCs/>
          <w:sz w:val="23"/>
          <w:szCs w:val="23"/>
        </w:rPr>
        <w:t>“</w:t>
      </w:r>
      <w:r>
        <w:rPr>
          <w:b/>
          <w:sz w:val="23"/>
          <w:szCs w:val="23"/>
        </w:rPr>
        <w:t xml:space="preserve">, </w:t>
      </w:r>
      <w:r w:rsidRPr="00ED0E3B">
        <w:rPr>
          <w:sz w:val="23"/>
          <w:szCs w:val="23"/>
          <w:lang w:val="sr-Latn-CS"/>
        </w:rPr>
        <w:t>Севојно</w:t>
      </w:r>
      <w:r>
        <w:rPr>
          <w:b/>
          <w:sz w:val="23"/>
          <w:szCs w:val="23"/>
        </w:rPr>
        <w:t>-</w:t>
      </w:r>
      <w:r w:rsidRPr="00ED0E3B">
        <w:rPr>
          <w:bCs/>
          <w:sz w:val="23"/>
          <w:szCs w:val="23"/>
          <w:lang w:val="sr-Latn-CS"/>
        </w:rPr>
        <w:t>Амбуланта</w:t>
      </w:r>
      <w:r>
        <w:rPr>
          <w:b/>
          <w:sz w:val="23"/>
          <w:szCs w:val="23"/>
        </w:rPr>
        <w:t xml:space="preserve">, </w:t>
      </w:r>
      <w:r w:rsidRPr="00ED0E3B">
        <w:rPr>
          <w:sz w:val="23"/>
          <w:szCs w:val="23"/>
        </w:rPr>
        <w:t xml:space="preserve">Ужице-болница, </w:t>
      </w:r>
      <w:r w:rsidRPr="00ED0E3B">
        <w:rPr>
          <w:bCs/>
          <w:sz w:val="23"/>
          <w:szCs w:val="23"/>
          <w:lang w:val="sr-Latn-CS"/>
        </w:rPr>
        <w:t>Ужице</w:t>
      </w:r>
      <w:r>
        <w:rPr>
          <w:bCs/>
          <w:sz w:val="23"/>
          <w:szCs w:val="23"/>
        </w:rPr>
        <w:t>-</w:t>
      </w:r>
      <w:r w:rsidRPr="00ED0E3B">
        <w:rPr>
          <w:bCs/>
          <w:sz w:val="23"/>
          <w:szCs w:val="23"/>
          <w:lang w:val="sr-Latn-CS"/>
        </w:rPr>
        <w:t>Омладинска улица поред Aутоматске мерне станице</w:t>
      </w:r>
      <w:r w:rsidRPr="00ED0E3B">
        <w:rPr>
          <w:bCs/>
          <w:sz w:val="23"/>
          <w:szCs w:val="23"/>
          <w:lang w:val="sr-Cyrl-CS"/>
        </w:rPr>
        <w:t xml:space="preserve"> (</w:t>
      </w:r>
      <w:r w:rsidRPr="00ED0E3B">
        <w:rPr>
          <w:bCs/>
          <w:sz w:val="23"/>
          <w:szCs w:val="23"/>
          <w:lang w:val="sr-Latn-CS"/>
        </w:rPr>
        <w:t>AM</w:t>
      </w:r>
      <w:r w:rsidRPr="00ED0E3B">
        <w:rPr>
          <w:bCs/>
          <w:sz w:val="23"/>
          <w:szCs w:val="23"/>
          <w:lang w:val="sr-Cyrl-CS"/>
        </w:rPr>
        <w:t>С)</w:t>
      </w:r>
      <w:r w:rsidRPr="00ED0E3B">
        <w:rPr>
          <w:sz w:val="23"/>
          <w:szCs w:val="23"/>
          <w:lang w:val="sr-Cyrl-CS"/>
        </w:rPr>
        <w:t>.</w:t>
      </w:r>
    </w:p>
    <w:p w:rsidR="00C8607D" w:rsidRPr="004B0755" w:rsidRDefault="00C8607D" w:rsidP="00C8607D">
      <w:pPr>
        <w:jc w:val="both"/>
        <w:rPr>
          <w:sz w:val="23"/>
          <w:szCs w:val="23"/>
          <w:lang w:val="ru-RU"/>
        </w:rPr>
      </w:pPr>
      <w:r w:rsidRPr="004B0755">
        <w:rPr>
          <w:sz w:val="23"/>
          <w:szCs w:val="23"/>
          <w:lang w:val="sr-Cyrl-CS"/>
        </w:rPr>
        <w:t xml:space="preserve">На Програм мониторинга ваздуха у локалној мрежи, сагласност даје надлежно Министарство. </w:t>
      </w:r>
    </w:p>
    <w:p w:rsidR="00C8607D" w:rsidRPr="007D575F" w:rsidRDefault="00C8607D" w:rsidP="00C8607D">
      <w:pPr>
        <w:jc w:val="both"/>
        <w:rPr>
          <w:sz w:val="23"/>
          <w:szCs w:val="23"/>
          <w:lang w:val="ru-RU"/>
        </w:rPr>
      </w:pPr>
    </w:p>
    <w:p w:rsidR="00C8607D" w:rsidRPr="00ED0E3B" w:rsidRDefault="00C8607D" w:rsidP="00C8607D">
      <w:pPr>
        <w:pStyle w:val="Header"/>
        <w:tabs>
          <w:tab w:val="clear" w:pos="4320"/>
          <w:tab w:val="clear" w:pos="8640"/>
        </w:tabs>
        <w:jc w:val="both"/>
        <w:rPr>
          <w:sz w:val="23"/>
          <w:szCs w:val="23"/>
          <w:lang w:val="ru-RU"/>
        </w:rPr>
      </w:pPr>
      <w:r w:rsidRPr="00ED0E3B">
        <w:rPr>
          <w:sz w:val="23"/>
          <w:szCs w:val="23"/>
          <w:lang w:val="ru-RU"/>
        </w:rPr>
        <w:t>Табела 1. Мерна места за праћење аерозагађења на територији града Ужица</w:t>
      </w:r>
    </w:p>
    <w:tbl>
      <w:tblPr>
        <w:tblW w:w="9024"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155"/>
        <w:gridCol w:w="5640"/>
      </w:tblGrid>
      <w:tr w:rsidR="00C8607D" w:rsidRPr="0034285C" w:rsidTr="00082C4A">
        <w:trPr>
          <w:trHeight w:val="397"/>
          <w:jc w:val="center"/>
        </w:trPr>
        <w:tc>
          <w:tcPr>
            <w:tcW w:w="9024" w:type="dxa"/>
            <w:gridSpan w:val="3"/>
            <w:shd w:val="clear" w:color="auto" w:fill="BFBFBF" w:themeFill="background1" w:themeFillShade="BF"/>
            <w:vAlign w:val="center"/>
          </w:tcPr>
          <w:p w:rsidR="00C8607D" w:rsidRPr="00082C4A" w:rsidRDefault="00C8607D" w:rsidP="00082C4A">
            <w:pPr>
              <w:pStyle w:val="ListParagraph"/>
              <w:numPr>
                <w:ilvl w:val="0"/>
                <w:numId w:val="8"/>
              </w:numPr>
              <w:rPr>
                <w:b/>
                <w:sz w:val="20"/>
                <w:szCs w:val="20"/>
                <w:lang w:val="sr-Latn-CS"/>
              </w:rPr>
            </w:pPr>
            <w:r w:rsidRPr="00082C4A">
              <w:rPr>
                <w:b/>
                <w:sz w:val="20"/>
                <w:szCs w:val="20"/>
              </w:rPr>
              <w:t>ЛОКАЛНА МРЕЖА СТАНИЦА</w:t>
            </w:r>
          </w:p>
        </w:tc>
      </w:tr>
      <w:tr w:rsidR="004C6927" w:rsidRPr="0034285C" w:rsidTr="00082C4A">
        <w:trPr>
          <w:jc w:val="center"/>
        </w:trPr>
        <w:tc>
          <w:tcPr>
            <w:tcW w:w="2229" w:type="dxa"/>
            <w:shd w:val="clear" w:color="auto" w:fill="F2F2F2" w:themeFill="background1" w:themeFillShade="F2"/>
            <w:vAlign w:val="center"/>
          </w:tcPr>
          <w:p w:rsidR="004C6927" w:rsidRPr="0034285C" w:rsidRDefault="004C6927" w:rsidP="00985FD3">
            <w:pPr>
              <w:pStyle w:val="Heading2"/>
              <w:ind w:left="-41" w:right="-73"/>
              <w:jc w:val="center"/>
              <w:rPr>
                <w:sz w:val="20"/>
                <w:szCs w:val="20"/>
                <w:lang w:val="sr-Cyrl-CS"/>
              </w:rPr>
            </w:pPr>
            <w:r w:rsidRPr="0034285C">
              <w:rPr>
                <w:sz w:val="20"/>
                <w:szCs w:val="20"/>
                <w:lang w:val="sr-Cyrl-CS"/>
              </w:rPr>
              <w:t>Мерно место</w:t>
            </w:r>
          </w:p>
        </w:tc>
        <w:tc>
          <w:tcPr>
            <w:tcW w:w="1155" w:type="dxa"/>
            <w:vAlign w:val="center"/>
          </w:tcPr>
          <w:p w:rsidR="004C6927" w:rsidRPr="0034285C" w:rsidRDefault="004C6927" w:rsidP="00985FD3">
            <w:pPr>
              <w:ind w:left="-78" w:right="-96"/>
              <w:jc w:val="center"/>
              <w:rPr>
                <w:b/>
                <w:sz w:val="20"/>
                <w:szCs w:val="20"/>
                <w:lang w:val="sr-Cyrl-CS"/>
              </w:rPr>
            </w:pPr>
            <w:r w:rsidRPr="0034285C">
              <w:rPr>
                <w:b/>
                <w:sz w:val="20"/>
                <w:szCs w:val="20"/>
                <w:lang w:val="sr-Cyrl-CS"/>
              </w:rPr>
              <w:t>Тип станице</w:t>
            </w:r>
          </w:p>
        </w:tc>
        <w:tc>
          <w:tcPr>
            <w:tcW w:w="5640" w:type="dxa"/>
            <w:vAlign w:val="center"/>
          </w:tcPr>
          <w:p w:rsidR="004C6927" w:rsidRPr="00341C00" w:rsidRDefault="004C6927" w:rsidP="00985FD3">
            <w:pPr>
              <w:ind w:left="576"/>
              <w:jc w:val="both"/>
              <w:rPr>
                <w:b/>
                <w:sz w:val="20"/>
                <w:szCs w:val="20"/>
                <w:lang w:val="sr-Cyrl-CS"/>
              </w:rPr>
            </w:pPr>
            <w:r w:rsidRPr="0034285C">
              <w:rPr>
                <w:b/>
                <w:sz w:val="20"/>
                <w:szCs w:val="20"/>
              </w:rPr>
              <w:t>Загађујуће материје</w:t>
            </w:r>
            <w:r w:rsidR="00341C00">
              <w:rPr>
                <w:b/>
                <w:sz w:val="20"/>
                <w:szCs w:val="20"/>
                <w:lang w:val="sr-Cyrl-CS"/>
              </w:rPr>
              <w:t xml:space="preserve"> које се прате</w:t>
            </w:r>
          </w:p>
        </w:tc>
      </w:tr>
      <w:tr w:rsidR="004C6927" w:rsidRPr="0034285C" w:rsidTr="00082C4A">
        <w:trPr>
          <w:jc w:val="center"/>
        </w:trPr>
        <w:tc>
          <w:tcPr>
            <w:tcW w:w="2229" w:type="dxa"/>
            <w:shd w:val="clear" w:color="auto" w:fill="F2F2F2" w:themeFill="background1" w:themeFillShade="F2"/>
            <w:vAlign w:val="center"/>
          </w:tcPr>
          <w:p w:rsidR="004C6927" w:rsidRPr="0034285C" w:rsidRDefault="004C6927" w:rsidP="00985FD3">
            <w:pPr>
              <w:pStyle w:val="Heading2"/>
              <w:ind w:left="-41" w:right="-73"/>
              <w:jc w:val="center"/>
              <w:rPr>
                <w:sz w:val="20"/>
                <w:szCs w:val="20"/>
                <w:lang w:val="sr-Cyrl-CS"/>
              </w:rPr>
            </w:pPr>
          </w:p>
          <w:p w:rsidR="004C6927" w:rsidRPr="0034285C" w:rsidRDefault="004C6927" w:rsidP="00985FD3">
            <w:pPr>
              <w:pStyle w:val="Heading2"/>
              <w:ind w:left="-41" w:right="-73"/>
              <w:jc w:val="center"/>
              <w:rPr>
                <w:sz w:val="20"/>
                <w:szCs w:val="20"/>
                <w:lang w:val="sr-Cyrl-CS"/>
              </w:rPr>
            </w:pPr>
            <w:r w:rsidRPr="0034285C">
              <w:rPr>
                <w:sz w:val="20"/>
                <w:szCs w:val="20"/>
                <w:lang w:val="sr-Latn-CS"/>
              </w:rPr>
              <w:t>Севојно</w:t>
            </w:r>
          </w:p>
          <w:p w:rsidR="004C6927" w:rsidRPr="0034285C" w:rsidRDefault="004C6927" w:rsidP="00985FD3">
            <w:pPr>
              <w:ind w:left="-41" w:right="-73"/>
              <w:jc w:val="center"/>
              <w:rPr>
                <w:b/>
                <w:bCs/>
                <w:sz w:val="20"/>
                <w:szCs w:val="20"/>
                <w:lang w:val="sr-Latn-CS"/>
              </w:rPr>
            </w:pPr>
            <w:r w:rsidRPr="0034285C">
              <w:rPr>
                <w:b/>
                <w:bCs/>
                <w:sz w:val="20"/>
                <w:szCs w:val="20"/>
                <w:lang w:val="sr-Latn-CS"/>
              </w:rPr>
              <w:t>Мерно место број 1:</w:t>
            </w:r>
          </w:p>
          <w:p w:rsidR="004C6927" w:rsidRPr="0034285C" w:rsidRDefault="004C6927" w:rsidP="00985FD3">
            <w:pPr>
              <w:ind w:left="-41" w:right="-73"/>
              <w:jc w:val="center"/>
              <w:rPr>
                <w:b/>
                <w:bCs/>
                <w:sz w:val="20"/>
                <w:szCs w:val="20"/>
              </w:rPr>
            </w:pPr>
            <w:r w:rsidRPr="0034285C">
              <w:rPr>
                <w:b/>
                <w:bCs/>
                <w:sz w:val="20"/>
                <w:szCs w:val="20"/>
                <w:lang w:val="sr-Latn-CS"/>
              </w:rPr>
              <w:t>Дечији вртић "Маслачак"</w:t>
            </w:r>
          </w:p>
        </w:tc>
        <w:tc>
          <w:tcPr>
            <w:tcW w:w="1155" w:type="dxa"/>
            <w:vAlign w:val="center"/>
          </w:tcPr>
          <w:p w:rsidR="004C6927" w:rsidRPr="0034285C" w:rsidRDefault="004C6927" w:rsidP="00985FD3">
            <w:pPr>
              <w:ind w:left="-78" w:right="-96"/>
              <w:jc w:val="center"/>
              <w:rPr>
                <w:sz w:val="20"/>
                <w:szCs w:val="20"/>
              </w:rPr>
            </w:pPr>
            <w:r w:rsidRPr="0034285C">
              <w:rPr>
                <w:sz w:val="20"/>
                <w:szCs w:val="20"/>
              </w:rPr>
              <w:t>Приградска</w:t>
            </w:r>
          </w:p>
        </w:tc>
        <w:tc>
          <w:tcPr>
            <w:tcW w:w="5640" w:type="dxa"/>
            <w:vAlign w:val="center"/>
          </w:tcPr>
          <w:p w:rsidR="004C6927" w:rsidRPr="0034285C" w:rsidRDefault="004C6927" w:rsidP="00985FD3">
            <w:pPr>
              <w:numPr>
                <w:ilvl w:val="0"/>
                <w:numId w:val="2"/>
              </w:numPr>
              <w:jc w:val="both"/>
              <w:rPr>
                <w:sz w:val="20"/>
                <w:szCs w:val="20"/>
                <w:lang w:val="sr-Latn-CS"/>
              </w:rPr>
            </w:pPr>
            <w:r w:rsidRPr="0034285C">
              <w:rPr>
                <w:sz w:val="20"/>
                <w:szCs w:val="20"/>
                <w:lang w:val="sr-Latn-CS"/>
              </w:rPr>
              <w:t>суспендоване честице</w:t>
            </w:r>
            <w:r w:rsidRPr="0034285C">
              <w:rPr>
                <w:sz w:val="20"/>
                <w:szCs w:val="20"/>
                <w:lang w:val="sr-Cyrl-CS"/>
              </w:rPr>
              <w:t xml:space="preserve"> </w:t>
            </w:r>
            <w:r w:rsidRPr="0034285C">
              <w:rPr>
                <w:sz w:val="20"/>
                <w:szCs w:val="20"/>
                <w:lang w:val="sr-Latn-CS"/>
              </w:rPr>
              <w:t xml:space="preserve">  </w:t>
            </w:r>
            <w:r w:rsidRPr="0034285C">
              <w:rPr>
                <w:sz w:val="20"/>
                <w:szCs w:val="20"/>
                <w:lang w:val="sr-Cyrl-CS"/>
              </w:rPr>
              <w:t>ПМ</w:t>
            </w:r>
            <w:r w:rsidRPr="0034285C">
              <w:rPr>
                <w:color w:val="000000"/>
                <w:sz w:val="20"/>
                <w:szCs w:val="20"/>
                <w:vertAlign w:val="subscript"/>
                <w:lang w:val="sr-Cyrl-CS"/>
              </w:rPr>
              <w:t>10</w:t>
            </w:r>
          </w:p>
          <w:p w:rsidR="004C6927" w:rsidRPr="0034285C" w:rsidRDefault="004C6927" w:rsidP="00985FD3">
            <w:pPr>
              <w:ind w:left="576"/>
              <w:jc w:val="both"/>
              <w:rPr>
                <w:sz w:val="20"/>
                <w:szCs w:val="20"/>
                <w:lang w:val="sr-Cyrl-CS"/>
              </w:rPr>
            </w:pPr>
            <w:r w:rsidRPr="0034285C">
              <w:rPr>
                <w:sz w:val="20"/>
                <w:szCs w:val="20"/>
              </w:rPr>
              <w:t>(56 дана годишње)</w:t>
            </w:r>
          </w:p>
          <w:p w:rsidR="004C6927" w:rsidRPr="002322B6" w:rsidRDefault="004C6927" w:rsidP="00985FD3">
            <w:pPr>
              <w:numPr>
                <w:ilvl w:val="0"/>
                <w:numId w:val="2"/>
              </w:numPr>
              <w:jc w:val="both"/>
              <w:rPr>
                <w:sz w:val="20"/>
                <w:szCs w:val="20"/>
                <w:lang w:val="sr-Latn-CS"/>
              </w:rPr>
            </w:pPr>
            <w:r w:rsidRPr="0034285C">
              <w:rPr>
                <w:sz w:val="20"/>
                <w:szCs w:val="20"/>
                <w:lang w:val="sr-Cyrl-CS"/>
              </w:rPr>
              <w:t>олов</w:t>
            </w:r>
            <w:r w:rsidRPr="0034285C">
              <w:rPr>
                <w:color w:val="000000"/>
                <w:sz w:val="20"/>
                <w:szCs w:val="20"/>
                <w:lang w:val="sr-Cyrl-CS"/>
              </w:rPr>
              <w:t>о,</w:t>
            </w:r>
            <w:r w:rsidRPr="0034285C">
              <w:rPr>
                <w:color w:val="FF0000"/>
                <w:sz w:val="20"/>
                <w:szCs w:val="20"/>
                <w:lang w:val="sr-Cyrl-CS"/>
              </w:rPr>
              <w:t xml:space="preserve"> </w:t>
            </w:r>
            <w:r w:rsidRPr="0034285C">
              <w:rPr>
                <w:sz w:val="20"/>
                <w:szCs w:val="20"/>
                <w:lang w:val="sr-Cyrl-CS"/>
              </w:rPr>
              <w:t>кадмијум, арсен, никал, укупни хром у ПМ</w:t>
            </w:r>
            <w:r w:rsidRPr="0034285C">
              <w:rPr>
                <w:color w:val="000000"/>
                <w:sz w:val="20"/>
                <w:szCs w:val="20"/>
                <w:vertAlign w:val="subscript"/>
                <w:lang w:val="sr-Cyrl-CS"/>
              </w:rPr>
              <w:t>10</w:t>
            </w:r>
            <w:r w:rsidRPr="0034285C">
              <w:rPr>
                <w:color w:val="000000"/>
                <w:sz w:val="20"/>
                <w:szCs w:val="20"/>
              </w:rPr>
              <w:t>(56 дана годишње)</w:t>
            </w:r>
          </w:p>
          <w:p w:rsidR="004C6927" w:rsidRPr="0034285C" w:rsidRDefault="004C6927" w:rsidP="00985FD3">
            <w:pPr>
              <w:numPr>
                <w:ilvl w:val="0"/>
                <w:numId w:val="2"/>
              </w:numPr>
              <w:jc w:val="both"/>
              <w:rPr>
                <w:sz w:val="20"/>
                <w:szCs w:val="20"/>
                <w:lang w:val="sr-Latn-CS"/>
              </w:rPr>
            </w:pPr>
            <w:r>
              <w:rPr>
                <w:sz w:val="20"/>
                <w:szCs w:val="20"/>
                <w:lang w:val="sr-Cyrl-CS"/>
              </w:rPr>
              <w:t>укупне таложне материје са анализом тешких метала (олово, кадмијум, арсен, никл, цинк)</w:t>
            </w:r>
          </w:p>
        </w:tc>
      </w:tr>
      <w:tr w:rsidR="004C6927" w:rsidRPr="0034285C" w:rsidTr="00082C4A">
        <w:trPr>
          <w:jc w:val="center"/>
        </w:trPr>
        <w:tc>
          <w:tcPr>
            <w:tcW w:w="2229" w:type="dxa"/>
            <w:shd w:val="clear" w:color="auto" w:fill="F2F2F2" w:themeFill="background1" w:themeFillShade="F2"/>
            <w:vAlign w:val="center"/>
          </w:tcPr>
          <w:p w:rsidR="004C6927" w:rsidRPr="0034285C" w:rsidRDefault="004C6927" w:rsidP="00985FD3">
            <w:pPr>
              <w:pStyle w:val="Heading2"/>
              <w:ind w:left="-41" w:right="-73"/>
              <w:jc w:val="center"/>
              <w:rPr>
                <w:sz w:val="20"/>
                <w:szCs w:val="20"/>
                <w:lang w:val="sr-Cyrl-CS"/>
              </w:rPr>
            </w:pPr>
            <w:r w:rsidRPr="0034285C">
              <w:rPr>
                <w:sz w:val="20"/>
                <w:szCs w:val="20"/>
                <w:lang w:val="sr-Latn-CS"/>
              </w:rPr>
              <w:t>Севојно</w:t>
            </w:r>
          </w:p>
          <w:p w:rsidR="004C6927" w:rsidRPr="0034285C" w:rsidRDefault="004C6927" w:rsidP="00985FD3">
            <w:pPr>
              <w:ind w:left="-41" w:right="-73"/>
              <w:jc w:val="center"/>
              <w:rPr>
                <w:b/>
                <w:bCs/>
                <w:sz w:val="20"/>
                <w:szCs w:val="20"/>
                <w:lang w:val="sr-Latn-CS"/>
              </w:rPr>
            </w:pPr>
            <w:r w:rsidRPr="0034285C">
              <w:rPr>
                <w:b/>
                <w:bCs/>
                <w:sz w:val="20"/>
                <w:szCs w:val="20"/>
                <w:lang w:val="sr-Latn-CS"/>
              </w:rPr>
              <w:t xml:space="preserve">Мерно место број </w:t>
            </w:r>
            <w:r w:rsidRPr="0034285C">
              <w:rPr>
                <w:b/>
                <w:bCs/>
                <w:sz w:val="20"/>
                <w:szCs w:val="20"/>
                <w:lang w:val="sr-Cyrl-CS"/>
              </w:rPr>
              <w:t>2</w:t>
            </w:r>
            <w:r w:rsidRPr="0034285C">
              <w:rPr>
                <w:b/>
                <w:bCs/>
                <w:sz w:val="20"/>
                <w:szCs w:val="20"/>
                <w:lang w:val="sr-Latn-CS"/>
              </w:rPr>
              <w:t>:</w:t>
            </w:r>
          </w:p>
          <w:p w:rsidR="004C6927" w:rsidRPr="0034285C" w:rsidRDefault="004C6927" w:rsidP="00985FD3">
            <w:pPr>
              <w:ind w:left="-41" w:right="-73"/>
              <w:jc w:val="center"/>
              <w:rPr>
                <w:b/>
                <w:bCs/>
                <w:sz w:val="20"/>
                <w:szCs w:val="20"/>
              </w:rPr>
            </w:pPr>
            <w:r w:rsidRPr="0034285C">
              <w:rPr>
                <w:b/>
                <w:bCs/>
                <w:sz w:val="20"/>
                <w:szCs w:val="20"/>
                <w:lang w:val="sr-Latn-CS"/>
              </w:rPr>
              <w:t>Амбуланта</w:t>
            </w:r>
          </w:p>
        </w:tc>
        <w:tc>
          <w:tcPr>
            <w:tcW w:w="1155" w:type="dxa"/>
            <w:vAlign w:val="center"/>
          </w:tcPr>
          <w:p w:rsidR="004C6927" w:rsidRPr="0034285C" w:rsidRDefault="004C6927" w:rsidP="00985FD3">
            <w:pPr>
              <w:autoSpaceDE w:val="0"/>
              <w:autoSpaceDN w:val="0"/>
              <w:adjustRightInd w:val="0"/>
              <w:ind w:left="-78" w:right="-96"/>
              <w:jc w:val="center"/>
              <w:rPr>
                <w:color w:val="000000"/>
                <w:sz w:val="20"/>
                <w:szCs w:val="20"/>
                <w:lang w:val="ru-RU"/>
              </w:rPr>
            </w:pPr>
            <w:r w:rsidRPr="0034285C">
              <w:rPr>
                <w:color w:val="000000"/>
                <w:sz w:val="20"/>
                <w:szCs w:val="20"/>
                <w:lang w:val="ru-RU"/>
              </w:rPr>
              <w:t>Приградска</w:t>
            </w:r>
          </w:p>
        </w:tc>
        <w:tc>
          <w:tcPr>
            <w:tcW w:w="5640" w:type="dxa"/>
            <w:vAlign w:val="center"/>
          </w:tcPr>
          <w:p w:rsidR="004C6927" w:rsidRPr="0034285C" w:rsidRDefault="004C6927" w:rsidP="00985FD3">
            <w:pPr>
              <w:numPr>
                <w:ilvl w:val="0"/>
                <w:numId w:val="3"/>
              </w:numPr>
              <w:autoSpaceDE w:val="0"/>
              <w:autoSpaceDN w:val="0"/>
              <w:adjustRightInd w:val="0"/>
              <w:jc w:val="both"/>
              <w:rPr>
                <w:color w:val="000000"/>
                <w:sz w:val="20"/>
                <w:szCs w:val="20"/>
                <w:lang w:val="ru-RU"/>
              </w:rPr>
            </w:pPr>
            <w:r w:rsidRPr="0034285C">
              <w:rPr>
                <w:color w:val="000000"/>
                <w:sz w:val="20"/>
                <w:szCs w:val="20"/>
                <w:lang w:val="ru-RU"/>
              </w:rPr>
              <w:t>сумпор диоксид, азот диоксид и чађ</w:t>
            </w:r>
          </w:p>
          <w:p w:rsidR="004C6927" w:rsidRPr="0063043B" w:rsidRDefault="004C6927" w:rsidP="00985FD3">
            <w:pPr>
              <w:autoSpaceDE w:val="0"/>
              <w:autoSpaceDN w:val="0"/>
              <w:adjustRightInd w:val="0"/>
              <w:ind w:left="360"/>
              <w:jc w:val="both"/>
              <w:rPr>
                <w:color w:val="000000"/>
                <w:sz w:val="20"/>
                <w:szCs w:val="20"/>
                <w:lang w:val="ru-RU"/>
              </w:rPr>
            </w:pPr>
            <w:r w:rsidRPr="0034285C">
              <w:rPr>
                <w:color w:val="000000"/>
                <w:sz w:val="20"/>
                <w:szCs w:val="20"/>
                <w:lang w:val="ru-RU"/>
              </w:rPr>
              <w:t xml:space="preserve">    (365 дана годишње)</w:t>
            </w:r>
          </w:p>
        </w:tc>
      </w:tr>
      <w:tr w:rsidR="004C6927" w:rsidRPr="0034285C" w:rsidTr="00082C4A">
        <w:trPr>
          <w:jc w:val="center"/>
        </w:trPr>
        <w:tc>
          <w:tcPr>
            <w:tcW w:w="2229" w:type="dxa"/>
            <w:tcBorders>
              <w:bottom w:val="single" w:sz="4" w:space="0" w:color="auto"/>
            </w:tcBorders>
            <w:shd w:val="clear" w:color="auto" w:fill="F2F2F2" w:themeFill="background1" w:themeFillShade="F2"/>
            <w:vAlign w:val="center"/>
          </w:tcPr>
          <w:p w:rsidR="004C6927" w:rsidRDefault="004C6927" w:rsidP="00985FD3">
            <w:pPr>
              <w:ind w:left="-41" w:right="-73"/>
              <w:jc w:val="center"/>
              <w:rPr>
                <w:b/>
                <w:bCs/>
                <w:sz w:val="20"/>
                <w:szCs w:val="20"/>
                <w:lang w:val="sr-Cyrl-CS"/>
              </w:rPr>
            </w:pPr>
            <w:r>
              <w:rPr>
                <w:b/>
                <w:bCs/>
                <w:sz w:val="20"/>
                <w:szCs w:val="20"/>
                <w:lang w:val="sr-Cyrl-CS"/>
              </w:rPr>
              <w:t>Ужице</w:t>
            </w:r>
          </w:p>
          <w:p w:rsidR="004C6927" w:rsidRPr="0034285C" w:rsidRDefault="004C6927" w:rsidP="00985FD3">
            <w:pPr>
              <w:ind w:left="-41" w:right="-73"/>
              <w:jc w:val="center"/>
              <w:rPr>
                <w:b/>
                <w:bCs/>
                <w:sz w:val="20"/>
                <w:szCs w:val="20"/>
                <w:lang w:val="sr-Cyrl-CS"/>
              </w:rPr>
            </w:pPr>
            <w:r>
              <w:rPr>
                <w:b/>
                <w:bCs/>
                <w:sz w:val="20"/>
                <w:szCs w:val="20"/>
                <w:lang w:val="sr-Cyrl-CS"/>
              </w:rPr>
              <w:t>Болница</w:t>
            </w:r>
          </w:p>
        </w:tc>
        <w:tc>
          <w:tcPr>
            <w:tcW w:w="1155" w:type="dxa"/>
            <w:tcBorders>
              <w:bottom w:val="single" w:sz="4" w:space="0" w:color="auto"/>
            </w:tcBorders>
            <w:vAlign w:val="center"/>
          </w:tcPr>
          <w:p w:rsidR="004C6927" w:rsidRPr="0070220D" w:rsidRDefault="004C6927" w:rsidP="00985FD3">
            <w:pPr>
              <w:ind w:left="-78" w:right="-96"/>
              <w:jc w:val="center"/>
              <w:rPr>
                <w:sz w:val="20"/>
                <w:szCs w:val="20"/>
                <w:lang w:val="sr-Cyrl-CS"/>
              </w:rPr>
            </w:pPr>
            <w:r>
              <w:rPr>
                <w:sz w:val="20"/>
                <w:szCs w:val="20"/>
                <w:lang w:val="sr-Cyrl-CS"/>
              </w:rPr>
              <w:t>Урбана</w:t>
            </w:r>
          </w:p>
        </w:tc>
        <w:tc>
          <w:tcPr>
            <w:tcW w:w="5640" w:type="dxa"/>
            <w:tcBorders>
              <w:bottom w:val="single" w:sz="4" w:space="0" w:color="auto"/>
            </w:tcBorders>
            <w:vAlign w:val="center"/>
          </w:tcPr>
          <w:p w:rsidR="004C6927" w:rsidRPr="0034285C" w:rsidRDefault="004C6927" w:rsidP="00985FD3">
            <w:pPr>
              <w:numPr>
                <w:ilvl w:val="0"/>
                <w:numId w:val="3"/>
              </w:numPr>
              <w:jc w:val="both"/>
              <w:rPr>
                <w:sz w:val="20"/>
                <w:szCs w:val="20"/>
                <w:lang w:val="sr-Latn-CS"/>
              </w:rPr>
            </w:pPr>
            <w:r>
              <w:rPr>
                <w:sz w:val="20"/>
                <w:szCs w:val="20"/>
                <w:lang w:val="sr-Cyrl-CS"/>
              </w:rPr>
              <w:t>укупне таложне материје са анализом тешких метала (олово, кадмијум, арсен, никл, цинк)</w:t>
            </w:r>
          </w:p>
        </w:tc>
      </w:tr>
      <w:tr w:rsidR="004C6927" w:rsidRPr="0034285C" w:rsidTr="00082C4A">
        <w:trPr>
          <w:jc w:val="center"/>
        </w:trPr>
        <w:tc>
          <w:tcPr>
            <w:tcW w:w="2229" w:type="dxa"/>
            <w:tcBorders>
              <w:bottom w:val="single" w:sz="4" w:space="0" w:color="auto"/>
            </w:tcBorders>
            <w:shd w:val="clear" w:color="auto" w:fill="F2F2F2" w:themeFill="background1" w:themeFillShade="F2"/>
            <w:vAlign w:val="center"/>
          </w:tcPr>
          <w:p w:rsidR="004C6927" w:rsidRPr="0034285C" w:rsidRDefault="004C6927" w:rsidP="00985FD3">
            <w:pPr>
              <w:ind w:left="-41" w:right="-73"/>
              <w:jc w:val="center"/>
              <w:rPr>
                <w:b/>
                <w:bCs/>
                <w:sz w:val="20"/>
                <w:szCs w:val="20"/>
                <w:lang w:val="sr-Cyrl-CS"/>
              </w:rPr>
            </w:pPr>
            <w:r w:rsidRPr="0034285C">
              <w:rPr>
                <w:b/>
                <w:bCs/>
                <w:sz w:val="20"/>
                <w:szCs w:val="20"/>
                <w:lang w:val="sr-Latn-CS"/>
              </w:rPr>
              <w:t>Ужице</w:t>
            </w:r>
          </w:p>
          <w:p w:rsidR="004C6927" w:rsidRPr="0034285C" w:rsidRDefault="004C6927" w:rsidP="00985FD3">
            <w:pPr>
              <w:ind w:left="-41" w:right="-73"/>
              <w:jc w:val="center"/>
              <w:rPr>
                <w:b/>
                <w:bCs/>
                <w:sz w:val="20"/>
                <w:szCs w:val="20"/>
                <w:lang w:val="sr-Cyrl-CS"/>
              </w:rPr>
            </w:pPr>
            <w:r w:rsidRPr="0034285C">
              <w:rPr>
                <w:b/>
                <w:bCs/>
                <w:sz w:val="20"/>
                <w:szCs w:val="20"/>
                <w:lang w:val="sr-Latn-CS"/>
              </w:rPr>
              <w:t xml:space="preserve">Мерно место број </w:t>
            </w:r>
            <w:r w:rsidRPr="0034285C">
              <w:rPr>
                <w:b/>
                <w:bCs/>
                <w:sz w:val="20"/>
                <w:szCs w:val="20"/>
                <w:lang w:val="sr-Cyrl-CS"/>
              </w:rPr>
              <w:t>3</w:t>
            </w:r>
          </w:p>
          <w:p w:rsidR="004C6927" w:rsidRPr="0034285C" w:rsidRDefault="004C6927" w:rsidP="00985FD3">
            <w:pPr>
              <w:ind w:left="-41" w:right="-73"/>
              <w:jc w:val="center"/>
              <w:rPr>
                <w:b/>
                <w:bCs/>
                <w:sz w:val="20"/>
                <w:szCs w:val="20"/>
                <w:lang w:val="sr-Cyrl-CS"/>
              </w:rPr>
            </w:pPr>
            <w:r w:rsidRPr="0034285C">
              <w:rPr>
                <w:b/>
                <w:bCs/>
                <w:sz w:val="20"/>
                <w:szCs w:val="20"/>
                <w:lang w:val="sr-Latn-CS"/>
              </w:rPr>
              <w:t>Омладинска улица поред Aутоматске мерне станице</w:t>
            </w:r>
            <w:r w:rsidRPr="0034285C">
              <w:rPr>
                <w:b/>
                <w:bCs/>
                <w:sz w:val="20"/>
                <w:szCs w:val="20"/>
                <w:lang w:val="sr-Cyrl-CS"/>
              </w:rPr>
              <w:t xml:space="preserve"> (</w:t>
            </w:r>
            <w:r w:rsidRPr="0034285C">
              <w:rPr>
                <w:b/>
                <w:bCs/>
                <w:sz w:val="20"/>
                <w:szCs w:val="20"/>
                <w:lang w:val="sr-Latn-CS"/>
              </w:rPr>
              <w:t>AM</w:t>
            </w:r>
            <w:r w:rsidRPr="0034285C">
              <w:rPr>
                <w:b/>
                <w:bCs/>
                <w:sz w:val="20"/>
                <w:szCs w:val="20"/>
                <w:lang w:val="sr-Cyrl-CS"/>
              </w:rPr>
              <w:t>С)</w:t>
            </w:r>
          </w:p>
        </w:tc>
        <w:tc>
          <w:tcPr>
            <w:tcW w:w="1155" w:type="dxa"/>
            <w:tcBorders>
              <w:bottom w:val="single" w:sz="4" w:space="0" w:color="auto"/>
            </w:tcBorders>
            <w:vAlign w:val="center"/>
          </w:tcPr>
          <w:p w:rsidR="004C6927" w:rsidRPr="0034285C" w:rsidRDefault="004C6927" w:rsidP="00985FD3">
            <w:pPr>
              <w:ind w:left="-78" w:right="-96"/>
              <w:jc w:val="center"/>
              <w:rPr>
                <w:sz w:val="20"/>
                <w:szCs w:val="20"/>
              </w:rPr>
            </w:pPr>
            <w:r w:rsidRPr="0034285C">
              <w:rPr>
                <w:sz w:val="20"/>
                <w:szCs w:val="20"/>
              </w:rPr>
              <w:t>Урбана</w:t>
            </w:r>
          </w:p>
        </w:tc>
        <w:tc>
          <w:tcPr>
            <w:tcW w:w="5640" w:type="dxa"/>
            <w:tcBorders>
              <w:bottom w:val="single" w:sz="4" w:space="0" w:color="auto"/>
            </w:tcBorders>
            <w:vAlign w:val="center"/>
          </w:tcPr>
          <w:p w:rsidR="004C6927" w:rsidRPr="0034285C" w:rsidRDefault="004C6927" w:rsidP="00985FD3">
            <w:pPr>
              <w:numPr>
                <w:ilvl w:val="0"/>
                <w:numId w:val="3"/>
              </w:numPr>
              <w:jc w:val="both"/>
              <w:rPr>
                <w:sz w:val="20"/>
                <w:szCs w:val="20"/>
                <w:lang w:val="sr-Latn-CS"/>
              </w:rPr>
            </w:pPr>
            <w:r w:rsidRPr="0034285C">
              <w:rPr>
                <w:sz w:val="20"/>
                <w:szCs w:val="20"/>
                <w:lang w:val="sr-Latn-CS"/>
              </w:rPr>
              <w:t>суспендоване честице</w:t>
            </w:r>
            <w:r w:rsidRPr="0034285C">
              <w:rPr>
                <w:sz w:val="20"/>
                <w:szCs w:val="20"/>
                <w:lang w:val="sr-Cyrl-CS"/>
              </w:rPr>
              <w:t xml:space="preserve"> ПМ</w:t>
            </w:r>
            <w:r w:rsidRPr="0034285C">
              <w:rPr>
                <w:color w:val="000000"/>
                <w:sz w:val="20"/>
                <w:szCs w:val="20"/>
                <w:vertAlign w:val="subscript"/>
                <w:lang w:val="sr-Cyrl-CS"/>
              </w:rPr>
              <w:t>2,5</w:t>
            </w:r>
          </w:p>
          <w:p w:rsidR="004C6927" w:rsidRPr="0034285C" w:rsidRDefault="004C6927" w:rsidP="00985FD3">
            <w:pPr>
              <w:ind w:left="576"/>
              <w:jc w:val="both"/>
              <w:rPr>
                <w:sz w:val="20"/>
                <w:szCs w:val="20"/>
                <w:lang w:val="sr-Latn-CS"/>
              </w:rPr>
            </w:pPr>
            <w:r w:rsidRPr="0034285C">
              <w:rPr>
                <w:sz w:val="20"/>
                <w:szCs w:val="20"/>
                <w:lang w:val="sr-Cyrl-CS"/>
              </w:rPr>
              <w:t>(56 дана годишње)</w:t>
            </w:r>
          </w:p>
          <w:p w:rsidR="004C6927" w:rsidRPr="0034285C" w:rsidRDefault="004C6927" w:rsidP="00985FD3">
            <w:pPr>
              <w:pStyle w:val="Header"/>
              <w:tabs>
                <w:tab w:val="clear" w:pos="4320"/>
                <w:tab w:val="clear" w:pos="8640"/>
              </w:tabs>
              <w:jc w:val="both"/>
              <w:rPr>
                <w:sz w:val="20"/>
                <w:szCs w:val="20"/>
                <w:lang w:val="ru-RU"/>
              </w:rPr>
            </w:pPr>
          </w:p>
        </w:tc>
      </w:tr>
      <w:tr w:rsidR="00C8607D" w:rsidRPr="0034285C" w:rsidTr="00082C4A">
        <w:trPr>
          <w:trHeight w:val="421"/>
          <w:jc w:val="center"/>
        </w:trPr>
        <w:tc>
          <w:tcPr>
            <w:tcW w:w="9024" w:type="dxa"/>
            <w:gridSpan w:val="3"/>
            <w:shd w:val="clear" w:color="auto" w:fill="BFBFBF" w:themeFill="background1" w:themeFillShade="BF"/>
            <w:vAlign w:val="center"/>
          </w:tcPr>
          <w:p w:rsidR="00C8607D" w:rsidRPr="00082C4A" w:rsidRDefault="00C8607D" w:rsidP="00082C4A">
            <w:pPr>
              <w:pStyle w:val="ListParagraph"/>
              <w:numPr>
                <w:ilvl w:val="0"/>
                <w:numId w:val="8"/>
              </w:numPr>
              <w:ind w:right="-73"/>
              <w:rPr>
                <w:b/>
                <w:sz w:val="20"/>
                <w:szCs w:val="20"/>
                <w:lang w:val="sr-Latn-CS"/>
              </w:rPr>
            </w:pPr>
            <w:r w:rsidRPr="00082C4A">
              <w:rPr>
                <w:b/>
                <w:sz w:val="20"/>
                <w:szCs w:val="20"/>
              </w:rPr>
              <w:t>ДРЖАВНА МРЕЖА СТАНИЦА</w:t>
            </w:r>
          </w:p>
        </w:tc>
      </w:tr>
      <w:tr w:rsidR="004C6927" w:rsidRPr="0034285C" w:rsidTr="00082C4A">
        <w:trPr>
          <w:jc w:val="center"/>
        </w:trPr>
        <w:tc>
          <w:tcPr>
            <w:tcW w:w="2229" w:type="dxa"/>
            <w:shd w:val="clear" w:color="auto" w:fill="F2F2F2" w:themeFill="background1" w:themeFillShade="F2"/>
            <w:vAlign w:val="center"/>
          </w:tcPr>
          <w:p w:rsidR="004C6927" w:rsidRPr="0034285C" w:rsidRDefault="004C6927" w:rsidP="00985FD3">
            <w:pPr>
              <w:ind w:left="-41" w:right="-73"/>
              <w:jc w:val="center"/>
              <w:rPr>
                <w:b/>
                <w:bCs/>
                <w:sz w:val="20"/>
                <w:szCs w:val="20"/>
              </w:rPr>
            </w:pPr>
            <w:r w:rsidRPr="0034285C">
              <w:rPr>
                <w:b/>
                <w:bCs/>
                <w:sz w:val="20"/>
                <w:szCs w:val="20"/>
              </w:rPr>
              <w:t>Ужице</w:t>
            </w:r>
          </w:p>
          <w:p w:rsidR="004C6927" w:rsidRPr="0034285C" w:rsidRDefault="004C6927" w:rsidP="00985FD3">
            <w:pPr>
              <w:ind w:left="-41" w:right="-73"/>
              <w:jc w:val="center"/>
              <w:rPr>
                <w:b/>
                <w:bCs/>
                <w:sz w:val="20"/>
                <w:szCs w:val="20"/>
                <w:lang w:val="sr-Cyrl-CS"/>
              </w:rPr>
            </w:pPr>
            <w:r w:rsidRPr="0034285C">
              <w:rPr>
                <w:b/>
                <w:bCs/>
                <w:sz w:val="20"/>
                <w:szCs w:val="20"/>
                <w:lang w:val="sr-Latn-CS"/>
              </w:rPr>
              <w:t>Aутоматск</w:t>
            </w:r>
            <w:r w:rsidRPr="0034285C">
              <w:rPr>
                <w:b/>
                <w:bCs/>
                <w:sz w:val="20"/>
                <w:szCs w:val="20"/>
              </w:rPr>
              <w:t>а</w:t>
            </w:r>
            <w:r w:rsidRPr="0034285C">
              <w:rPr>
                <w:b/>
                <w:bCs/>
                <w:sz w:val="20"/>
                <w:szCs w:val="20"/>
                <w:lang w:val="sr-Latn-CS"/>
              </w:rPr>
              <w:t xml:space="preserve"> мерн</w:t>
            </w:r>
            <w:r w:rsidRPr="0034285C">
              <w:rPr>
                <w:b/>
                <w:bCs/>
                <w:sz w:val="20"/>
                <w:szCs w:val="20"/>
              </w:rPr>
              <w:t>а</w:t>
            </w:r>
            <w:r w:rsidRPr="0034285C">
              <w:rPr>
                <w:b/>
                <w:bCs/>
                <w:sz w:val="20"/>
                <w:szCs w:val="20"/>
                <w:lang w:val="sr-Latn-CS"/>
              </w:rPr>
              <w:t xml:space="preserve"> станиц</w:t>
            </w:r>
            <w:r w:rsidRPr="0034285C">
              <w:rPr>
                <w:b/>
                <w:bCs/>
                <w:sz w:val="20"/>
                <w:szCs w:val="20"/>
              </w:rPr>
              <w:t>а</w:t>
            </w:r>
            <w:r w:rsidRPr="0034285C">
              <w:rPr>
                <w:b/>
                <w:bCs/>
                <w:sz w:val="20"/>
                <w:szCs w:val="20"/>
                <w:lang w:val="sr-Cyrl-CS"/>
              </w:rPr>
              <w:t xml:space="preserve"> (</w:t>
            </w:r>
            <w:r w:rsidRPr="0034285C">
              <w:rPr>
                <w:b/>
                <w:bCs/>
                <w:sz w:val="20"/>
                <w:szCs w:val="20"/>
                <w:lang w:val="sr-Latn-CS"/>
              </w:rPr>
              <w:t>AM</w:t>
            </w:r>
            <w:r w:rsidRPr="0034285C">
              <w:rPr>
                <w:b/>
                <w:bCs/>
                <w:sz w:val="20"/>
                <w:szCs w:val="20"/>
                <w:lang w:val="sr-Cyrl-CS"/>
              </w:rPr>
              <w:t>С)</w:t>
            </w:r>
          </w:p>
          <w:p w:rsidR="004C6927" w:rsidRPr="0034285C" w:rsidRDefault="004C6927" w:rsidP="00985FD3">
            <w:pPr>
              <w:pStyle w:val="Heading6"/>
              <w:ind w:left="-41" w:right="-73"/>
              <w:rPr>
                <w:rFonts w:ascii="Times New Roman" w:hAnsi="Times New Roman" w:cs="Times New Roman"/>
                <w:szCs w:val="20"/>
                <w:u w:val="single"/>
                <w:lang w:val="sr-Cyrl-CS"/>
              </w:rPr>
            </w:pPr>
          </w:p>
          <w:p w:rsidR="004C6927" w:rsidRPr="0034285C" w:rsidRDefault="004C6927" w:rsidP="00985FD3">
            <w:pPr>
              <w:pStyle w:val="Header"/>
              <w:tabs>
                <w:tab w:val="clear" w:pos="4320"/>
                <w:tab w:val="clear" w:pos="8640"/>
              </w:tabs>
              <w:ind w:left="-41" w:right="-73"/>
              <w:jc w:val="center"/>
              <w:rPr>
                <w:sz w:val="20"/>
                <w:szCs w:val="20"/>
                <w:lang w:val="ru-RU"/>
              </w:rPr>
            </w:pPr>
          </w:p>
        </w:tc>
        <w:tc>
          <w:tcPr>
            <w:tcW w:w="1155" w:type="dxa"/>
            <w:vAlign w:val="center"/>
          </w:tcPr>
          <w:p w:rsidR="004C6927" w:rsidRPr="0034285C" w:rsidRDefault="004C6927" w:rsidP="00985FD3">
            <w:pPr>
              <w:ind w:left="-78" w:right="-96"/>
              <w:jc w:val="center"/>
              <w:rPr>
                <w:sz w:val="20"/>
                <w:szCs w:val="20"/>
              </w:rPr>
            </w:pPr>
            <w:r w:rsidRPr="0034285C">
              <w:rPr>
                <w:sz w:val="20"/>
                <w:szCs w:val="20"/>
              </w:rPr>
              <w:t>Урбана</w:t>
            </w:r>
          </w:p>
        </w:tc>
        <w:tc>
          <w:tcPr>
            <w:tcW w:w="5640" w:type="dxa"/>
            <w:vAlign w:val="center"/>
          </w:tcPr>
          <w:p w:rsidR="004C6927" w:rsidRPr="0034285C" w:rsidRDefault="004C6927" w:rsidP="00985FD3">
            <w:pPr>
              <w:numPr>
                <w:ilvl w:val="0"/>
                <w:numId w:val="3"/>
              </w:numPr>
              <w:jc w:val="both"/>
              <w:rPr>
                <w:sz w:val="20"/>
                <w:szCs w:val="20"/>
                <w:lang w:val="sr-Latn-CS"/>
              </w:rPr>
            </w:pPr>
            <w:r w:rsidRPr="0034285C">
              <w:rPr>
                <w:sz w:val="20"/>
                <w:szCs w:val="20"/>
              </w:rPr>
              <w:t xml:space="preserve">суспендоване честице </w:t>
            </w:r>
            <w:r w:rsidRPr="0034285C">
              <w:rPr>
                <w:sz w:val="20"/>
                <w:szCs w:val="20"/>
                <w:lang w:val="sr-Cyrl-CS"/>
              </w:rPr>
              <w:t>ПМ</w:t>
            </w:r>
            <w:r w:rsidRPr="0034285C">
              <w:rPr>
                <w:color w:val="000000"/>
                <w:sz w:val="20"/>
                <w:szCs w:val="20"/>
                <w:vertAlign w:val="subscript"/>
                <w:lang w:val="sr-Cyrl-CS"/>
              </w:rPr>
              <w:t>10</w:t>
            </w:r>
          </w:p>
          <w:p w:rsidR="004C6927" w:rsidRPr="0034285C" w:rsidRDefault="004C6927" w:rsidP="00985FD3">
            <w:pPr>
              <w:ind w:left="576"/>
              <w:jc w:val="both"/>
              <w:rPr>
                <w:sz w:val="20"/>
                <w:szCs w:val="20"/>
                <w:lang w:val="sr-Latn-CS"/>
              </w:rPr>
            </w:pPr>
            <w:r w:rsidRPr="0034285C">
              <w:rPr>
                <w:sz w:val="20"/>
                <w:szCs w:val="20"/>
              </w:rPr>
              <w:t>(365 дана годишње)</w:t>
            </w:r>
          </w:p>
          <w:p w:rsidR="004C6927" w:rsidRPr="0063043B" w:rsidRDefault="004C6927" w:rsidP="00985FD3">
            <w:pPr>
              <w:numPr>
                <w:ilvl w:val="0"/>
                <w:numId w:val="3"/>
              </w:numPr>
              <w:jc w:val="both"/>
              <w:rPr>
                <w:color w:val="000000"/>
                <w:sz w:val="20"/>
                <w:szCs w:val="20"/>
                <w:lang w:val="sr-Latn-CS"/>
              </w:rPr>
            </w:pPr>
            <w:r w:rsidRPr="0034285C">
              <w:rPr>
                <w:color w:val="000000"/>
                <w:sz w:val="20"/>
                <w:szCs w:val="20"/>
              </w:rPr>
              <w:t>садржај</w:t>
            </w:r>
            <w:r w:rsidRPr="0034285C">
              <w:rPr>
                <w:color w:val="000000"/>
                <w:sz w:val="20"/>
                <w:szCs w:val="20"/>
                <w:lang w:val="sr-Latn-CS"/>
              </w:rPr>
              <w:t xml:space="preserve"> </w:t>
            </w:r>
            <w:r w:rsidRPr="0034285C">
              <w:rPr>
                <w:color w:val="000000"/>
                <w:sz w:val="20"/>
                <w:szCs w:val="20"/>
              </w:rPr>
              <w:t>тешких</w:t>
            </w:r>
            <w:r w:rsidRPr="0034285C">
              <w:rPr>
                <w:color w:val="000000"/>
                <w:sz w:val="20"/>
                <w:szCs w:val="20"/>
                <w:lang w:val="sr-Latn-CS"/>
              </w:rPr>
              <w:t xml:space="preserve"> </w:t>
            </w:r>
            <w:r w:rsidRPr="0034285C">
              <w:rPr>
                <w:color w:val="000000"/>
                <w:sz w:val="20"/>
                <w:szCs w:val="20"/>
              </w:rPr>
              <w:t>метала</w:t>
            </w:r>
            <w:r w:rsidRPr="0034285C">
              <w:rPr>
                <w:color w:val="000000"/>
                <w:sz w:val="20"/>
                <w:szCs w:val="20"/>
                <w:lang w:val="sr-Latn-CS"/>
              </w:rPr>
              <w:t xml:space="preserve">: </w:t>
            </w:r>
            <w:r w:rsidRPr="0034285C">
              <w:rPr>
                <w:color w:val="000000"/>
                <w:sz w:val="20"/>
                <w:szCs w:val="20"/>
              </w:rPr>
              <w:t>олова</w:t>
            </w:r>
            <w:r w:rsidRPr="0034285C">
              <w:rPr>
                <w:color w:val="000000"/>
                <w:sz w:val="20"/>
                <w:szCs w:val="20"/>
                <w:lang w:val="sr-Latn-CS"/>
              </w:rPr>
              <w:t xml:space="preserve"> (Pb), </w:t>
            </w:r>
            <w:r w:rsidRPr="0034285C">
              <w:rPr>
                <w:color w:val="000000"/>
                <w:sz w:val="20"/>
                <w:szCs w:val="20"/>
              </w:rPr>
              <w:t>кадмијума</w:t>
            </w:r>
            <w:r w:rsidRPr="0034285C">
              <w:rPr>
                <w:color w:val="000000"/>
                <w:sz w:val="20"/>
                <w:szCs w:val="20"/>
                <w:lang w:val="sr-Latn-CS"/>
              </w:rPr>
              <w:t xml:space="preserve"> (Cd), </w:t>
            </w:r>
            <w:r w:rsidRPr="0034285C">
              <w:rPr>
                <w:color w:val="000000"/>
                <w:sz w:val="20"/>
                <w:szCs w:val="20"/>
              </w:rPr>
              <w:t>никла</w:t>
            </w:r>
            <w:r w:rsidRPr="0034285C">
              <w:rPr>
                <w:color w:val="000000"/>
                <w:sz w:val="20"/>
                <w:szCs w:val="20"/>
                <w:lang w:val="sr-Latn-CS"/>
              </w:rPr>
              <w:t xml:space="preserve"> (Ni) </w:t>
            </w:r>
            <w:r w:rsidRPr="0034285C">
              <w:rPr>
                <w:color w:val="000000"/>
                <w:sz w:val="20"/>
                <w:szCs w:val="20"/>
              </w:rPr>
              <w:t>и</w:t>
            </w:r>
            <w:r w:rsidRPr="0034285C">
              <w:rPr>
                <w:color w:val="000000"/>
                <w:sz w:val="20"/>
                <w:szCs w:val="20"/>
                <w:lang w:val="sr-Latn-CS"/>
              </w:rPr>
              <w:t xml:space="preserve"> </w:t>
            </w:r>
            <w:r w:rsidRPr="0034285C">
              <w:rPr>
                <w:color w:val="000000"/>
                <w:sz w:val="20"/>
                <w:szCs w:val="20"/>
              </w:rPr>
              <w:t>арсена</w:t>
            </w:r>
            <w:r w:rsidRPr="0034285C">
              <w:rPr>
                <w:color w:val="000000"/>
                <w:sz w:val="20"/>
                <w:szCs w:val="20"/>
                <w:lang w:val="sr-Latn-CS"/>
              </w:rPr>
              <w:t xml:space="preserve"> (As) </w:t>
            </w:r>
            <w:r w:rsidRPr="0034285C">
              <w:rPr>
                <w:color w:val="000000"/>
                <w:sz w:val="20"/>
                <w:szCs w:val="20"/>
              </w:rPr>
              <w:t>у</w:t>
            </w:r>
            <w:r w:rsidRPr="0034285C">
              <w:rPr>
                <w:color w:val="000000"/>
                <w:sz w:val="20"/>
                <w:szCs w:val="20"/>
                <w:lang w:val="sr-Latn-CS"/>
              </w:rPr>
              <w:t xml:space="preserve"> </w:t>
            </w:r>
            <w:r w:rsidRPr="0034285C">
              <w:rPr>
                <w:color w:val="000000"/>
                <w:sz w:val="20"/>
                <w:szCs w:val="20"/>
              </w:rPr>
              <w:t>суспендованим</w:t>
            </w:r>
            <w:r w:rsidRPr="0034285C">
              <w:rPr>
                <w:color w:val="000000"/>
                <w:sz w:val="20"/>
                <w:szCs w:val="20"/>
                <w:lang w:val="sr-Latn-CS"/>
              </w:rPr>
              <w:t xml:space="preserve"> </w:t>
            </w:r>
            <w:r w:rsidRPr="0034285C">
              <w:rPr>
                <w:color w:val="000000"/>
                <w:sz w:val="20"/>
                <w:szCs w:val="20"/>
              </w:rPr>
              <w:t>честицама</w:t>
            </w:r>
            <w:r w:rsidRPr="0034285C">
              <w:rPr>
                <w:color w:val="000000"/>
                <w:sz w:val="20"/>
                <w:szCs w:val="20"/>
                <w:lang w:val="sr-Latn-CS"/>
              </w:rPr>
              <w:t xml:space="preserve"> </w:t>
            </w:r>
            <w:r w:rsidRPr="0034285C">
              <w:rPr>
                <w:color w:val="000000"/>
                <w:sz w:val="20"/>
                <w:szCs w:val="20"/>
              </w:rPr>
              <w:t>РМ</w:t>
            </w:r>
            <w:r w:rsidRPr="0034285C">
              <w:rPr>
                <w:color w:val="000000"/>
                <w:sz w:val="20"/>
                <w:szCs w:val="20"/>
                <w:vertAlign w:val="subscript"/>
                <w:lang w:val="sr-Cyrl-CS"/>
              </w:rPr>
              <w:t>10</w:t>
            </w:r>
            <w:r w:rsidRPr="0063043B">
              <w:rPr>
                <w:color w:val="000000"/>
                <w:sz w:val="20"/>
                <w:szCs w:val="20"/>
              </w:rPr>
              <w:t>(365 дана годишње)</w:t>
            </w:r>
          </w:p>
          <w:p w:rsidR="004C6927" w:rsidRPr="0034285C" w:rsidRDefault="004C6927" w:rsidP="00985FD3">
            <w:pPr>
              <w:numPr>
                <w:ilvl w:val="0"/>
                <w:numId w:val="3"/>
              </w:numPr>
              <w:jc w:val="both"/>
              <w:rPr>
                <w:color w:val="000000"/>
                <w:sz w:val="20"/>
                <w:szCs w:val="20"/>
                <w:lang w:val="sr-Latn-CS"/>
              </w:rPr>
            </w:pPr>
            <w:r w:rsidRPr="0034285C">
              <w:rPr>
                <w:color w:val="000000"/>
                <w:sz w:val="20"/>
                <w:szCs w:val="20"/>
              </w:rPr>
              <w:t>азот диоксид (365 дана годишње)</w:t>
            </w:r>
          </w:p>
          <w:p w:rsidR="004C6927" w:rsidRPr="0034285C" w:rsidRDefault="004C6927" w:rsidP="00985FD3">
            <w:pPr>
              <w:numPr>
                <w:ilvl w:val="0"/>
                <w:numId w:val="3"/>
              </w:numPr>
              <w:jc w:val="both"/>
              <w:rPr>
                <w:color w:val="000000"/>
                <w:sz w:val="20"/>
                <w:szCs w:val="20"/>
                <w:lang w:val="sr-Latn-CS"/>
              </w:rPr>
            </w:pPr>
            <w:r w:rsidRPr="0034285C">
              <w:rPr>
                <w:color w:val="000000"/>
                <w:sz w:val="20"/>
                <w:szCs w:val="20"/>
              </w:rPr>
              <w:t>сумпор</w:t>
            </w:r>
            <w:r w:rsidRPr="0034285C">
              <w:rPr>
                <w:color w:val="000000"/>
                <w:sz w:val="20"/>
                <w:szCs w:val="20"/>
                <w:lang w:val="sr-Cyrl-CS"/>
              </w:rPr>
              <w:t xml:space="preserve"> </w:t>
            </w:r>
            <w:r w:rsidRPr="0034285C">
              <w:rPr>
                <w:color w:val="000000"/>
                <w:sz w:val="20"/>
                <w:szCs w:val="20"/>
              </w:rPr>
              <w:t>диоксид</w:t>
            </w:r>
            <w:r w:rsidRPr="0034285C">
              <w:rPr>
                <w:color w:val="000000"/>
                <w:sz w:val="20"/>
                <w:szCs w:val="20"/>
                <w:lang w:val="sr-Cyrl-CS"/>
              </w:rPr>
              <w:t xml:space="preserve"> </w:t>
            </w:r>
            <w:r w:rsidRPr="0034285C">
              <w:rPr>
                <w:color w:val="000000"/>
                <w:sz w:val="20"/>
                <w:szCs w:val="20"/>
              </w:rPr>
              <w:t>(365 дана годишње)</w:t>
            </w:r>
          </w:p>
          <w:p w:rsidR="004C6927" w:rsidRPr="0034285C" w:rsidRDefault="004C6927" w:rsidP="00985FD3">
            <w:pPr>
              <w:numPr>
                <w:ilvl w:val="0"/>
                <w:numId w:val="3"/>
              </w:numPr>
              <w:jc w:val="both"/>
              <w:rPr>
                <w:color w:val="000000"/>
                <w:sz w:val="20"/>
                <w:szCs w:val="20"/>
                <w:lang w:val="sr-Latn-CS"/>
              </w:rPr>
            </w:pPr>
            <w:r w:rsidRPr="0034285C">
              <w:rPr>
                <w:color w:val="000000"/>
                <w:sz w:val="20"/>
                <w:szCs w:val="20"/>
              </w:rPr>
              <w:t>угљен моноксид</w:t>
            </w:r>
            <w:r w:rsidRPr="0034285C">
              <w:rPr>
                <w:color w:val="000000"/>
                <w:sz w:val="20"/>
                <w:szCs w:val="20"/>
                <w:lang w:val="sr-Cyrl-CS"/>
              </w:rPr>
              <w:t xml:space="preserve"> </w:t>
            </w:r>
            <w:r w:rsidRPr="0034285C">
              <w:rPr>
                <w:color w:val="000000"/>
                <w:sz w:val="20"/>
                <w:szCs w:val="20"/>
              </w:rPr>
              <w:t>(365 дана годишње)</w:t>
            </w:r>
          </w:p>
          <w:p w:rsidR="004C6927" w:rsidRPr="0034285C" w:rsidRDefault="004C6927" w:rsidP="00985FD3">
            <w:pPr>
              <w:numPr>
                <w:ilvl w:val="0"/>
                <w:numId w:val="3"/>
              </w:numPr>
              <w:jc w:val="both"/>
              <w:rPr>
                <w:color w:val="000000"/>
                <w:sz w:val="20"/>
                <w:szCs w:val="20"/>
                <w:lang w:val="sr-Latn-CS"/>
              </w:rPr>
            </w:pPr>
            <w:r w:rsidRPr="0034285C">
              <w:rPr>
                <w:color w:val="000000"/>
                <w:sz w:val="20"/>
                <w:szCs w:val="20"/>
              </w:rPr>
              <w:t>метеоролошки подаци</w:t>
            </w:r>
          </w:p>
        </w:tc>
      </w:tr>
      <w:tr w:rsidR="004C6927" w:rsidRPr="0034285C" w:rsidTr="00082C4A">
        <w:trPr>
          <w:jc w:val="center"/>
        </w:trPr>
        <w:tc>
          <w:tcPr>
            <w:tcW w:w="2229" w:type="dxa"/>
            <w:shd w:val="clear" w:color="auto" w:fill="F2F2F2" w:themeFill="background1" w:themeFillShade="F2"/>
            <w:vAlign w:val="center"/>
          </w:tcPr>
          <w:p w:rsidR="004C6927" w:rsidRPr="0034285C" w:rsidRDefault="004C6927" w:rsidP="00985FD3">
            <w:pPr>
              <w:pStyle w:val="Heading1"/>
              <w:ind w:left="-212" w:right="-73" w:firstLine="171"/>
              <w:jc w:val="center"/>
              <w:rPr>
                <w:b w:val="0"/>
                <w:sz w:val="20"/>
                <w:szCs w:val="20"/>
              </w:rPr>
            </w:pPr>
            <w:r w:rsidRPr="0034285C">
              <w:rPr>
                <w:sz w:val="20"/>
                <w:szCs w:val="20"/>
                <w:lang w:val="sr-Latn-CS"/>
              </w:rPr>
              <w:t xml:space="preserve">Ужице </w:t>
            </w:r>
            <w:r w:rsidRPr="0034285C">
              <w:rPr>
                <w:sz w:val="20"/>
                <w:szCs w:val="20"/>
                <w:lang w:val="sr-Cyrl-CS"/>
              </w:rPr>
              <w:t>-</w:t>
            </w:r>
            <w:r w:rsidRPr="0034285C">
              <w:rPr>
                <w:b w:val="0"/>
                <w:sz w:val="20"/>
                <w:szCs w:val="20"/>
                <w:lang w:val="sr-Latn-CS"/>
              </w:rPr>
              <w:t>Зелена пијаца</w:t>
            </w:r>
            <w:r w:rsidRPr="0034285C">
              <w:rPr>
                <w:b w:val="0"/>
                <w:sz w:val="20"/>
                <w:szCs w:val="20"/>
              </w:rPr>
              <w:t>-</w:t>
            </w:r>
            <w:r w:rsidRPr="0034285C">
              <w:rPr>
                <w:sz w:val="20"/>
                <w:szCs w:val="20"/>
              </w:rPr>
              <w:t>ЗП</w:t>
            </w:r>
          </w:p>
        </w:tc>
        <w:tc>
          <w:tcPr>
            <w:tcW w:w="1155" w:type="dxa"/>
            <w:vAlign w:val="center"/>
          </w:tcPr>
          <w:p w:rsidR="004C6927" w:rsidRPr="0034285C" w:rsidRDefault="004C6927" w:rsidP="00985FD3">
            <w:pPr>
              <w:ind w:left="-78" w:right="-96"/>
              <w:jc w:val="center"/>
              <w:rPr>
                <w:sz w:val="20"/>
                <w:szCs w:val="20"/>
              </w:rPr>
            </w:pPr>
            <w:r w:rsidRPr="0034285C">
              <w:rPr>
                <w:sz w:val="20"/>
                <w:szCs w:val="20"/>
              </w:rPr>
              <w:t>Урбана</w:t>
            </w:r>
          </w:p>
        </w:tc>
        <w:tc>
          <w:tcPr>
            <w:tcW w:w="5640" w:type="dxa"/>
            <w:vAlign w:val="center"/>
          </w:tcPr>
          <w:p w:rsidR="004C6927" w:rsidRPr="0034285C" w:rsidRDefault="004C6927" w:rsidP="00985FD3">
            <w:pPr>
              <w:numPr>
                <w:ilvl w:val="0"/>
                <w:numId w:val="3"/>
              </w:numPr>
              <w:jc w:val="both"/>
              <w:rPr>
                <w:sz w:val="20"/>
                <w:szCs w:val="20"/>
                <w:lang w:val="sr-Latn-CS"/>
              </w:rPr>
            </w:pPr>
            <w:r w:rsidRPr="0034285C">
              <w:rPr>
                <w:sz w:val="20"/>
                <w:szCs w:val="20"/>
                <w:lang w:val="sr-Latn-CS"/>
              </w:rPr>
              <w:t>сумпор диоксид,</w:t>
            </w:r>
            <w:r w:rsidRPr="0034285C">
              <w:rPr>
                <w:sz w:val="20"/>
                <w:szCs w:val="20"/>
                <w:lang w:val="sr-Cyrl-CS"/>
              </w:rPr>
              <w:t xml:space="preserve"> </w:t>
            </w:r>
            <w:r w:rsidRPr="0034285C">
              <w:rPr>
                <w:sz w:val="20"/>
                <w:szCs w:val="20"/>
                <w:lang w:val="sr-Latn-CS"/>
              </w:rPr>
              <w:t>азот диоксид и чађ</w:t>
            </w:r>
          </w:p>
          <w:p w:rsidR="004C6927" w:rsidRPr="0063043B" w:rsidRDefault="004C6927" w:rsidP="00985FD3">
            <w:pPr>
              <w:ind w:left="576"/>
              <w:jc w:val="both"/>
              <w:rPr>
                <w:sz w:val="20"/>
                <w:szCs w:val="20"/>
                <w:lang w:val="sr-Latn-CS"/>
              </w:rPr>
            </w:pPr>
            <w:r w:rsidRPr="0034285C">
              <w:rPr>
                <w:sz w:val="20"/>
                <w:szCs w:val="20"/>
              </w:rPr>
              <w:t>(365 дана годишње)</w:t>
            </w:r>
          </w:p>
        </w:tc>
      </w:tr>
      <w:tr w:rsidR="004C6927" w:rsidRPr="0034285C" w:rsidTr="00082C4A">
        <w:trPr>
          <w:jc w:val="center"/>
        </w:trPr>
        <w:tc>
          <w:tcPr>
            <w:tcW w:w="2229" w:type="dxa"/>
            <w:shd w:val="clear" w:color="auto" w:fill="F2F2F2" w:themeFill="background1" w:themeFillShade="F2"/>
            <w:vAlign w:val="center"/>
          </w:tcPr>
          <w:p w:rsidR="004C6927" w:rsidRPr="0063043B" w:rsidRDefault="004C6927" w:rsidP="00985FD3">
            <w:pPr>
              <w:ind w:left="-41" w:right="-73"/>
              <w:jc w:val="center"/>
              <w:rPr>
                <w:b/>
                <w:bCs/>
                <w:sz w:val="20"/>
                <w:szCs w:val="20"/>
              </w:rPr>
            </w:pPr>
            <w:r>
              <w:rPr>
                <w:b/>
                <w:bCs/>
                <w:sz w:val="20"/>
                <w:szCs w:val="20"/>
              </w:rPr>
              <w:t>Ужице -</w:t>
            </w:r>
            <w:r w:rsidRPr="0034285C">
              <w:rPr>
                <w:sz w:val="20"/>
                <w:szCs w:val="20"/>
                <w:lang w:val="sr-Latn-CS"/>
              </w:rPr>
              <w:t>Царина</w:t>
            </w:r>
            <w:r w:rsidRPr="0034285C">
              <w:rPr>
                <w:b/>
                <w:bCs/>
                <w:sz w:val="20"/>
                <w:szCs w:val="20"/>
                <w:lang w:val="sr-Latn-CS"/>
              </w:rPr>
              <w:t xml:space="preserve"> </w:t>
            </w:r>
            <w:r w:rsidRPr="0034285C">
              <w:rPr>
                <w:b/>
                <w:bCs/>
                <w:sz w:val="20"/>
                <w:szCs w:val="20"/>
                <w:lang w:val="sr-Cyrl-CS"/>
              </w:rPr>
              <w:t>-</w:t>
            </w:r>
            <w:r>
              <w:rPr>
                <w:b/>
                <w:bCs/>
                <w:sz w:val="20"/>
                <w:szCs w:val="20"/>
              </w:rPr>
              <w:t>Вртић</w:t>
            </w:r>
            <w:r w:rsidRPr="0034285C">
              <w:rPr>
                <w:bCs/>
                <w:sz w:val="20"/>
                <w:szCs w:val="20"/>
                <w:lang w:val="sr-Cyrl-CS"/>
              </w:rPr>
              <w:t xml:space="preserve"> </w:t>
            </w:r>
            <w:r w:rsidRPr="0034285C">
              <w:rPr>
                <w:b/>
                <w:bCs/>
                <w:sz w:val="20"/>
                <w:szCs w:val="20"/>
                <w:lang w:val="sr-Latn-CS"/>
              </w:rPr>
              <w:t>"Полетарац"</w:t>
            </w:r>
            <w:r w:rsidRPr="0034285C">
              <w:rPr>
                <w:b/>
                <w:bCs/>
                <w:sz w:val="20"/>
                <w:szCs w:val="20"/>
                <w:lang w:val="sr-Cyrl-CS"/>
              </w:rPr>
              <w:t>-</w:t>
            </w:r>
            <w:r w:rsidRPr="0034285C">
              <w:rPr>
                <w:bCs/>
                <w:sz w:val="20"/>
                <w:szCs w:val="20"/>
                <w:lang w:val="sr-Cyrl-CS"/>
              </w:rPr>
              <w:t>ДВ</w:t>
            </w:r>
          </w:p>
        </w:tc>
        <w:tc>
          <w:tcPr>
            <w:tcW w:w="1155" w:type="dxa"/>
            <w:vAlign w:val="center"/>
          </w:tcPr>
          <w:p w:rsidR="004C6927" w:rsidRPr="0034285C" w:rsidRDefault="004C6927" w:rsidP="00985FD3">
            <w:pPr>
              <w:ind w:left="-78" w:right="-96"/>
              <w:jc w:val="center"/>
              <w:rPr>
                <w:sz w:val="20"/>
                <w:szCs w:val="20"/>
              </w:rPr>
            </w:pPr>
            <w:r w:rsidRPr="0034285C">
              <w:rPr>
                <w:sz w:val="20"/>
                <w:szCs w:val="20"/>
              </w:rPr>
              <w:t>Урбана</w:t>
            </w:r>
          </w:p>
        </w:tc>
        <w:tc>
          <w:tcPr>
            <w:tcW w:w="5640" w:type="dxa"/>
            <w:vAlign w:val="center"/>
          </w:tcPr>
          <w:p w:rsidR="004C6927" w:rsidRPr="0034285C" w:rsidRDefault="004C6927" w:rsidP="00985FD3">
            <w:pPr>
              <w:numPr>
                <w:ilvl w:val="0"/>
                <w:numId w:val="3"/>
              </w:numPr>
              <w:jc w:val="both"/>
              <w:rPr>
                <w:sz w:val="20"/>
                <w:szCs w:val="20"/>
                <w:lang w:val="sr-Latn-CS"/>
              </w:rPr>
            </w:pPr>
            <w:r w:rsidRPr="0034285C">
              <w:rPr>
                <w:sz w:val="20"/>
                <w:szCs w:val="20"/>
                <w:lang w:val="sr-Latn-CS"/>
              </w:rPr>
              <w:t>укупне таложне материје</w:t>
            </w:r>
          </w:p>
          <w:p w:rsidR="004C6927" w:rsidRPr="0034285C" w:rsidRDefault="004C6927" w:rsidP="00985FD3">
            <w:pPr>
              <w:ind w:left="288"/>
              <w:jc w:val="both"/>
              <w:rPr>
                <w:sz w:val="20"/>
                <w:szCs w:val="20"/>
                <w:lang w:val="sr-Latn-CS"/>
              </w:rPr>
            </w:pPr>
            <w:r w:rsidRPr="0034285C">
              <w:rPr>
                <w:sz w:val="20"/>
                <w:szCs w:val="20"/>
                <w:lang w:val="sr-Cyrl-CS"/>
              </w:rPr>
              <w:t xml:space="preserve">     </w:t>
            </w:r>
            <w:r w:rsidRPr="0034285C">
              <w:rPr>
                <w:sz w:val="20"/>
                <w:szCs w:val="20"/>
              </w:rPr>
              <w:t>(365 дана годишње)</w:t>
            </w:r>
          </w:p>
        </w:tc>
      </w:tr>
    </w:tbl>
    <w:p w:rsidR="00C8607D" w:rsidRPr="00816976" w:rsidRDefault="00C8607D" w:rsidP="00C8607D">
      <w:pPr>
        <w:pStyle w:val="Header"/>
        <w:tabs>
          <w:tab w:val="clear" w:pos="4320"/>
          <w:tab w:val="clear" w:pos="8640"/>
        </w:tabs>
        <w:jc w:val="both"/>
      </w:pPr>
    </w:p>
    <w:p w:rsidR="00C8607D" w:rsidRPr="007D575F" w:rsidRDefault="00C8607D" w:rsidP="00C8607D">
      <w:pPr>
        <w:jc w:val="both"/>
        <w:rPr>
          <w:sz w:val="23"/>
          <w:szCs w:val="23"/>
          <w:lang w:val="sr-Cyrl-CS"/>
        </w:rPr>
      </w:pPr>
      <w:r w:rsidRPr="007D575F">
        <w:rPr>
          <w:sz w:val="23"/>
          <w:szCs w:val="23"/>
          <w:lang w:val="sr-Cyrl-CS"/>
        </w:rPr>
        <w:lastRenderedPageBreak/>
        <w:t xml:space="preserve">Град Ужице и Завод за јавно здравље Ужице, као овлашћена и акредитована установа, уговарају на годишњем нивоу мониторинг квалитета ваздуха. </w:t>
      </w:r>
    </w:p>
    <w:p w:rsidR="00C8607D" w:rsidRPr="00062B71" w:rsidRDefault="00C8607D" w:rsidP="00EC7E57">
      <w:pPr>
        <w:pStyle w:val="Header"/>
        <w:tabs>
          <w:tab w:val="clear" w:pos="4320"/>
          <w:tab w:val="clear" w:pos="8640"/>
        </w:tabs>
        <w:spacing w:after="240"/>
        <w:jc w:val="both"/>
        <w:rPr>
          <w:sz w:val="23"/>
          <w:szCs w:val="23"/>
          <w:lang w:val="ru-RU"/>
        </w:rPr>
      </w:pPr>
      <w:r w:rsidRPr="00062B71">
        <w:rPr>
          <w:sz w:val="23"/>
          <w:szCs w:val="23"/>
          <w:lang w:val="ru-RU"/>
        </w:rPr>
        <w:t>На територији града Ужица мере се следеће загађујуће материје: суспендоване честице ПМ</w:t>
      </w:r>
      <w:r w:rsidRPr="00062B71">
        <w:rPr>
          <w:sz w:val="23"/>
          <w:szCs w:val="23"/>
          <w:vertAlign w:val="subscript"/>
          <w:lang w:val="ru-RU"/>
        </w:rPr>
        <w:t>10</w:t>
      </w:r>
      <w:r w:rsidRPr="00062B71">
        <w:rPr>
          <w:sz w:val="23"/>
          <w:szCs w:val="23"/>
          <w:lang w:val="ru-RU"/>
        </w:rPr>
        <w:t xml:space="preserve"> и ПМ</w:t>
      </w:r>
      <w:r w:rsidRPr="00062B71">
        <w:rPr>
          <w:sz w:val="23"/>
          <w:szCs w:val="23"/>
          <w:vertAlign w:val="subscript"/>
          <w:lang w:val="ru-RU"/>
        </w:rPr>
        <w:t>2,5</w:t>
      </w:r>
      <w:r w:rsidRPr="00062B71">
        <w:rPr>
          <w:sz w:val="23"/>
          <w:szCs w:val="23"/>
          <w:lang w:val="ru-RU"/>
        </w:rPr>
        <w:t>, тешки метали у суспендованим честицама ПМ</w:t>
      </w:r>
      <w:r w:rsidRPr="00062B71">
        <w:rPr>
          <w:sz w:val="23"/>
          <w:szCs w:val="23"/>
          <w:vertAlign w:val="subscript"/>
          <w:lang w:val="ru-RU"/>
        </w:rPr>
        <w:t>10</w:t>
      </w:r>
      <w:r w:rsidRPr="00062B71">
        <w:rPr>
          <w:sz w:val="23"/>
          <w:szCs w:val="23"/>
          <w:lang w:val="ru-RU"/>
        </w:rPr>
        <w:t>, сумпор диоксид, азотдиоксид и чађ и укупне таложне материје.</w:t>
      </w:r>
    </w:p>
    <w:p w:rsidR="00C8607D" w:rsidRPr="00062B71" w:rsidRDefault="00C8607D" w:rsidP="00EC7E57">
      <w:pPr>
        <w:pStyle w:val="NormalWeb"/>
        <w:shd w:val="clear" w:color="auto" w:fill="FFFFFF"/>
        <w:spacing w:before="0" w:beforeAutospacing="0" w:after="240" w:afterAutospacing="0"/>
        <w:jc w:val="both"/>
        <w:rPr>
          <w:color w:val="000000"/>
          <w:sz w:val="23"/>
          <w:szCs w:val="23"/>
          <w:lang w:val="ru-RU"/>
        </w:rPr>
      </w:pPr>
      <w:r w:rsidRPr="00062B71">
        <w:rPr>
          <w:color w:val="000000"/>
          <w:sz w:val="23"/>
          <w:szCs w:val="23"/>
          <w:lang w:val="ru-RU"/>
        </w:rPr>
        <w:t xml:space="preserve">Најзначајнији извор сумпорних </w:t>
      </w:r>
      <w:r w:rsidR="00D93A6C" w:rsidRPr="00062B71">
        <w:rPr>
          <w:color w:val="000000"/>
          <w:sz w:val="23"/>
          <w:szCs w:val="23"/>
          <w:lang w:val="ru-RU"/>
        </w:rPr>
        <w:t xml:space="preserve">оксида и оксида азота </w:t>
      </w:r>
      <w:r w:rsidRPr="00062B71">
        <w:rPr>
          <w:color w:val="000000"/>
          <w:sz w:val="23"/>
          <w:szCs w:val="23"/>
          <w:lang w:val="ru-RU"/>
        </w:rPr>
        <w:t>је</w:t>
      </w:r>
      <w:r w:rsidR="00D93A6C" w:rsidRPr="00062B71">
        <w:rPr>
          <w:color w:val="000000"/>
          <w:sz w:val="23"/>
          <w:szCs w:val="23"/>
          <w:lang w:val="ru-RU"/>
        </w:rPr>
        <w:t>сте</w:t>
      </w:r>
      <w:r w:rsidRPr="00062B71">
        <w:rPr>
          <w:color w:val="000000"/>
          <w:sz w:val="23"/>
          <w:szCs w:val="23"/>
          <w:lang w:val="ru-RU"/>
        </w:rPr>
        <w:t xml:space="preserve"> сагоревање фосилних горива – угља и нафте, затим индустрија и саобраћај. Загађивање ваздуха сумпор-диоксидом опада у земљама које значајније користе гас и друге обновљиве изворе енергије. </w:t>
      </w:r>
    </w:p>
    <w:p w:rsidR="00C8607D" w:rsidRPr="00062B71" w:rsidRDefault="00C8607D" w:rsidP="00EC7E57">
      <w:pPr>
        <w:pStyle w:val="NormalWeb"/>
        <w:spacing w:before="0" w:beforeAutospacing="0" w:after="240" w:afterAutospacing="0"/>
        <w:jc w:val="both"/>
        <w:rPr>
          <w:sz w:val="23"/>
          <w:szCs w:val="23"/>
          <w:lang w:val="ru-RU"/>
        </w:rPr>
      </w:pPr>
      <w:r w:rsidRPr="00062B71">
        <w:rPr>
          <w:color w:val="000000"/>
          <w:sz w:val="23"/>
          <w:szCs w:val="23"/>
          <w:lang w:val="ru-RU"/>
        </w:rPr>
        <w:t>Суспендованим</w:t>
      </w:r>
      <w:r w:rsidRPr="00062B71">
        <w:rPr>
          <w:color w:val="000000"/>
          <w:sz w:val="23"/>
          <w:szCs w:val="23"/>
        </w:rPr>
        <w:t> </w:t>
      </w:r>
      <w:r w:rsidRPr="00062B71">
        <w:rPr>
          <w:color w:val="000000"/>
          <w:sz w:val="23"/>
          <w:szCs w:val="23"/>
          <w:lang w:val="ru-RU"/>
        </w:rPr>
        <w:t xml:space="preserve"> честицама назива се велики број различитих материја које се састоје од ситних чврстих честица или мањих течних капљица присутних у атмосфери. Њих чине: честице пореклом из дизел мотора, летећи пепео, минерална прашина (пореклом из угља, азбеста, кречњака, цемента), честице флуорида, метална прашина и металне паре, пигменти боја, остаци пестицида у виду измаглице, дим, чађ и др. </w:t>
      </w:r>
    </w:p>
    <w:p w:rsidR="00C8607D" w:rsidRPr="00062B71" w:rsidRDefault="00C8607D" w:rsidP="00EC7E57">
      <w:pPr>
        <w:pStyle w:val="Header"/>
        <w:tabs>
          <w:tab w:val="clear" w:pos="4320"/>
          <w:tab w:val="clear" w:pos="8640"/>
        </w:tabs>
        <w:spacing w:after="240"/>
        <w:jc w:val="both"/>
        <w:rPr>
          <w:sz w:val="23"/>
          <w:szCs w:val="23"/>
        </w:rPr>
      </w:pPr>
      <w:r w:rsidRPr="00062B71">
        <w:rPr>
          <w:sz w:val="23"/>
          <w:szCs w:val="23"/>
          <w:lang w:val="ru-RU"/>
        </w:rPr>
        <w:t xml:space="preserve">Осамдесетих и деведесетих година прошлог века, честице су праћене као чађ и укупне таложне материје. У </w:t>
      </w:r>
      <w:r w:rsidRPr="00062B71">
        <w:rPr>
          <w:sz w:val="23"/>
          <w:szCs w:val="23"/>
        </w:rPr>
        <w:t>време када се као гориво, поготову у великим градским котларницама, користио угаљ и мазут, биле су високе вредности чађи и таложних материја. На равним површинама кров</w:t>
      </w:r>
      <w:r w:rsidR="00D93A6C" w:rsidRPr="00062B71">
        <w:rPr>
          <w:sz w:val="23"/>
          <w:szCs w:val="23"/>
        </w:rPr>
        <w:t xml:space="preserve">ова, плочника, возилима у Ужицу је </w:t>
      </w:r>
      <w:r w:rsidRPr="00062B71">
        <w:rPr>
          <w:sz w:val="23"/>
          <w:szCs w:val="23"/>
        </w:rPr>
        <w:t>био видљив траг од наталожених честица чађи и летећег пепела. У исто време, када се кренуло са савременим методама праћења квалитета ваздуха (укупне суспендоване честице, ПМ</w:t>
      </w:r>
      <w:r w:rsidRPr="00062B71">
        <w:rPr>
          <w:sz w:val="23"/>
          <w:szCs w:val="23"/>
          <w:vertAlign w:val="subscript"/>
        </w:rPr>
        <w:t>10</w:t>
      </w:r>
      <w:r w:rsidRPr="00062B71">
        <w:rPr>
          <w:sz w:val="23"/>
          <w:szCs w:val="23"/>
        </w:rPr>
        <w:t xml:space="preserve"> и ПМ</w:t>
      </w:r>
      <w:r w:rsidRPr="00062B71">
        <w:rPr>
          <w:sz w:val="23"/>
          <w:szCs w:val="23"/>
          <w:vertAlign w:val="subscript"/>
        </w:rPr>
        <w:t>2,5</w:t>
      </w:r>
      <w:r w:rsidRPr="00062B71">
        <w:rPr>
          <w:sz w:val="23"/>
          <w:szCs w:val="23"/>
        </w:rPr>
        <w:t>), извршена је конверзија највећег броја котларница у граду на природни гас, алтернативно мазут. Сада нема видљивих трагова чађи и летећег пепела у централној зони града, али се региструју високе вредности суспендиованих честица ПМ</w:t>
      </w:r>
      <w:r w:rsidRPr="00062B71">
        <w:rPr>
          <w:sz w:val="23"/>
          <w:szCs w:val="23"/>
          <w:vertAlign w:val="subscript"/>
        </w:rPr>
        <w:t>10</w:t>
      </w:r>
      <w:r w:rsidRPr="00062B71">
        <w:rPr>
          <w:sz w:val="23"/>
          <w:szCs w:val="23"/>
        </w:rPr>
        <w:t xml:space="preserve"> и ПМ</w:t>
      </w:r>
      <w:r w:rsidRPr="00062B71">
        <w:rPr>
          <w:sz w:val="23"/>
          <w:szCs w:val="23"/>
          <w:vertAlign w:val="subscript"/>
        </w:rPr>
        <w:t>2,5</w:t>
      </w:r>
      <w:r w:rsidRPr="00062B71">
        <w:rPr>
          <w:sz w:val="23"/>
          <w:szCs w:val="23"/>
        </w:rPr>
        <w:t xml:space="preserve"> по правилу у периоду температурних инверзија, од почетка децембра до краја јануара. </w:t>
      </w:r>
    </w:p>
    <w:p w:rsidR="00C8607D" w:rsidRPr="00062B71" w:rsidRDefault="00EC7E57" w:rsidP="00C8607D">
      <w:pPr>
        <w:autoSpaceDE w:val="0"/>
        <w:autoSpaceDN w:val="0"/>
        <w:adjustRightInd w:val="0"/>
        <w:jc w:val="both"/>
        <w:rPr>
          <w:b/>
          <w:sz w:val="23"/>
          <w:szCs w:val="23"/>
          <w:lang w:val="sr-Cyrl-CS"/>
        </w:rPr>
      </w:pPr>
      <w:r w:rsidRPr="00062B71">
        <w:rPr>
          <w:b/>
          <w:sz w:val="23"/>
          <w:szCs w:val="23"/>
        </w:rPr>
        <w:t>2.</w:t>
      </w:r>
      <w:r w:rsidR="00C8607D" w:rsidRPr="00062B71">
        <w:rPr>
          <w:b/>
          <w:sz w:val="23"/>
          <w:szCs w:val="23"/>
          <w:lang w:val="sr-Cyrl-CS"/>
        </w:rPr>
        <w:t xml:space="preserve"> СТАЊЕ КВАЛИТЕТ</w:t>
      </w:r>
      <w:r w:rsidRPr="00062B71">
        <w:rPr>
          <w:b/>
          <w:sz w:val="23"/>
          <w:szCs w:val="23"/>
          <w:lang w:val="sr-Cyrl-CS"/>
        </w:rPr>
        <w:t>А ВАЗДУХА</w:t>
      </w:r>
    </w:p>
    <w:p w:rsidR="00C8607D" w:rsidRPr="00062B71" w:rsidRDefault="00C8607D" w:rsidP="00C8607D">
      <w:pPr>
        <w:autoSpaceDE w:val="0"/>
        <w:autoSpaceDN w:val="0"/>
        <w:adjustRightInd w:val="0"/>
        <w:jc w:val="both"/>
        <w:rPr>
          <w:color w:val="FF0000"/>
          <w:sz w:val="23"/>
          <w:szCs w:val="23"/>
          <w:lang w:val="sr-Cyrl-CS"/>
        </w:rPr>
      </w:pPr>
    </w:p>
    <w:p w:rsidR="00C8607D" w:rsidRDefault="00C8607D" w:rsidP="00EC7E57">
      <w:pPr>
        <w:autoSpaceDE w:val="0"/>
        <w:autoSpaceDN w:val="0"/>
        <w:adjustRightInd w:val="0"/>
        <w:spacing w:after="240"/>
        <w:jc w:val="both"/>
        <w:rPr>
          <w:sz w:val="23"/>
          <w:szCs w:val="23"/>
          <w:lang w:val="sr-Cyrl-CS"/>
        </w:rPr>
      </w:pPr>
      <w:r w:rsidRPr="00062B71">
        <w:rPr>
          <w:sz w:val="23"/>
          <w:szCs w:val="23"/>
          <w:lang w:val="sr-Cyrl-CS"/>
        </w:rPr>
        <w:t>Резултати мерења концентрација загађујућих материја, упоређују се са граничним вредностима и толерантним вредностима, које су прописане Уредбом о условима за мониторинг и захтевима квалитета ваздуха (</w:t>
      </w:r>
      <w:r w:rsidR="00EC7E57" w:rsidRPr="00062B71">
        <w:rPr>
          <w:sz w:val="23"/>
          <w:szCs w:val="23"/>
          <w:lang w:val="sr-Cyrl-CS"/>
        </w:rPr>
        <w:t>„</w:t>
      </w:r>
      <w:r w:rsidRPr="00062B71">
        <w:rPr>
          <w:sz w:val="23"/>
          <w:szCs w:val="23"/>
          <w:lang w:val="sr-Cyrl-CS"/>
        </w:rPr>
        <w:t>Сл.гласник РС</w:t>
      </w:r>
      <w:r w:rsidR="00EC7E57" w:rsidRPr="00062B71">
        <w:rPr>
          <w:sz w:val="23"/>
          <w:szCs w:val="23"/>
          <w:lang w:val="sr-Cyrl-CS"/>
        </w:rPr>
        <w:t>“</w:t>
      </w:r>
      <w:r w:rsidRPr="00062B71">
        <w:rPr>
          <w:sz w:val="23"/>
          <w:szCs w:val="23"/>
          <w:lang w:val="sr-Cyrl-CS"/>
        </w:rPr>
        <w:t>. Бр. 11/10, 75/10 и 63/13) у циљу утврђивања нивоа загађености ваздуха на територији града.</w:t>
      </w:r>
    </w:p>
    <w:p w:rsidR="008045E1" w:rsidRDefault="00BF1DE3" w:rsidP="00BF1DE3">
      <w:pPr>
        <w:autoSpaceDE w:val="0"/>
        <w:autoSpaceDN w:val="0"/>
        <w:adjustRightInd w:val="0"/>
        <w:spacing w:after="240"/>
        <w:jc w:val="both"/>
        <w:rPr>
          <w:sz w:val="23"/>
          <w:szCs w:val="23"/>
          <w:lang w:val="sr-Cyrl-CS"/>
        </w:rPr>
      </w:pPr>
      <w:r w:rsidRPr="00BF1DE3">
        <w:rPr>
          <w:b/>
          <w:sz w:val="23"/>
          <w:szCs w:val="23"/>
          <w:lang w:val="sr-Cyrl-CS"/>
        </w:rPr>
        <w:t>У 201</w:t>
      </w:r>
      <w:r w:rsidRPr="00BF1DE3">
        <w:rPr>
          <w:b/>
          <w:sz w:val="23"/>
          <w:szCs w:val="23"/>
        </w:rPr>
        <w:t>3</w:t>
      </w:r>
      <w:r w:rsidRPr="00BF1DE3">
        <w:rPr>
          <w:b/>
          <w:sz w:val="23"/>
          <w:szCs w:val="23"/>
          <w:lang w:val="sr-Cyrl-CS"/>
        </w:rPr>
        <w:t>.години</w:t>
      </w:r>
      <w:r w:rsidRPr="00BF1DE3">
        <w:rPr>
          <w:sz w:val="23"/>
          <w:szCs w:val="23"/>
          <w:lang w:val="sr-Cyrl-CS"/>
        </w:rPr>
        <w:t>, на мерном месту АМС у Ужицу, уместо предвиђених 90 % података о дневним концентрацијама ПМ</w:t>
      </w:r>
      <w:r w:rsidRPr="00BF1DE3">
        <w:rPr>
          <w:sz w:val="23"/>
          <w:szCs w:val="23"/>
          <w:vertAlign w:val="subscript"/>
          <w:lang w:val="sr-Cyrl-CS"/>
        </w:rPr>
        <w:t>10</w:t>
      </w:r>
      <w:r w:rsidRPr="00BF1DE3">
        <w:rPr>
          <w:sz w:val="23"/>
          <w:szCs w:val="23"/>
          <w:lang w:val="sr-Cyrl-CS"/>
        </w:rPr>
        <w:t xml:space="preserve">, забележено је 78 % података, што је било довољно за израду Извештаја о стању квалитета ваздуха у 2013.години. Према </w:t>
      </w:r>
      <w:r w:rsidRPr="00BF1DE3">
        <w:rPr>
          <w:sz w:val="23"/>
          <w:szCs w:val="23"/>
        </w:rPr>
        <w:t xml:space="preserve">подацима о концентрацијама </w:t>
      </w:r>
      <w:r w:rsidRPr="00BF1DE3">
        <w:rPr>
          <w:sz w:val="23"/>
          <w:szCs w:val="23"/>
          <w:lang w:val="sr-Cyrl-CS"/>
        </w:rPr>
        <w:t>ПМ</w:t>
      </w:r>
      <w:r w:rsidRPr="00BF1DE3">
        <w:rPr>
          <w:sz w:val="23"/>
          <w:szCs w:val="23"/>
          <w:vertAlign w:val="subscript"/>
          <w:lang w:val="sr-Cyrl-CS"/>
        </w:rPr>
        <w:t>10</w:t>
      </w:r>
      <w:r w:rsidRPr="00BF1DE3">
        <w:rPr>
          <w:sz w:val="23"/>
          <w:szCs w:val="23"/>
        </w:rPr>
        <w:t xml:space="preserve"> у ваздуху околине, на мерном месту АМС</w:t>
      </w:r>
      <w:r w:rsidRPr="00BF1DE3">
        <w:rPr>
          <w:sz w:val="23"/>
          <w:szCs w:val="23"/>
          <w:u w:val="single"/>
        </w:rPr>
        <w:t>,</w:t>
      </w:r>
      <w:r w:rsidRPr="00BF1DE3">
        <w:rPr>
          <w:sz w:val="23"/>
          <w:szCs w:val="23"/>
        </w:rPr>
        <w:t xml:space="preserve"> у </w:t>
      </w:r>
      <w:r w:rsidRPr="00BF1DE3">
        <w:rPr>
          <w:sz w:val="23"/>
          <w:szCs w:val="23"/>
          <w:lang w:val="sr-Cyrl-CS"/>
        </w:rPr>
        <w:t xml:space="preserve"> </w:t>
      </w:r>
      <w:r w:rsidRPr="00BF1DE3">
        <w:rPr>
          <w:sz w:val="23"/>
          <w:szCs w:val="23"/>
        </w:rPr>
        <w:t>Ужицу је у 2013.години ваздух био III категорије</w:t>
      </w:r>
      <w:r w:rsidRPr="00BF1DE3">
        <w:rPr>
          <w:sz w:val="23"/>
          <w:szCs w:val="23"/>
          <w:lang w:val="sr-Cyrl-CS"/>
        </w:rPr>
        <w:t xml:space="preserve"> </w:t>
      </w:r>
      <w:r w:rsidRPr="00BF1DE3">
        <w:rPr>
          <w:sz w:val="23"/>
          <w:szCs w:val="23"/>
        </w:rPr>
        <w:t>-</w:t>
      </w:r>
      <w:r w:rsidRPr="00BF1DE3">
        <w:rPr>
          <w:sz w:val="23"/>
          <w:szCs w:val="23"/>
          <w:lang w:val="sr-Cyrl-CS"/>
        </w:rPr>
        <w:t xml:space="preserve"> </w:t>
      </w:r>
      <w:r w:rsidRPr="00BF1DE3">
        <w:rPr>
          <w:sz w:val="23"/>
          <w:szCs w:val="23"/>
        </w:rPr>
        <w:t xml:space="preserve">прекомерно загађен ваздух, јер су прекорачене толерантне вредности концентрација </w:t>
      </w:r>
      <w:r w:rsidRPr="00BF1DE3">
        <w:rPr>
          <w:sz w:val="23"/>
          <w:szCs w:val="23"/>
          <w:lang w:val="sr-Cyrl-CS"/>
        </w:rPr>
        <w:t>ПМ</w:t>
      </w:r>
      <w:r w:rsidRPr="00BF1DE3">
        <w:rPr>
          <w:sz w:val="23"/>
          <w:szCs w:val="23"/>
          <w:vertAlign w:val="subscript"/>
          <w:lang w:val="sr-Cyrl-CS"/>
        </w:rPr>
        <w:t>10</w:t>
      </w:r>
      <w:r w:rsidRPr="00BF1DE3">
        <w:rPr>
          <w:sz w:val="23"/>
          <w:szCs w:val="23"/>
        </w:rPr>
        <w:t xml:space="preserve">. </w:t>
      </w:r>
      <w:r w:rsidRPr="00BF1DE3">
        <w:rPr>
          <w:sz w:val="23"/>
          <w:szCs w:val="23"/>
          <w:lang w:val="sr-Cyrl-CS"/>
        </w:rPr>
        <w:t xml:space="preserve">На овом мерном месту  забележено је 110 мерења преко ГВ (50 </w:t>
      </w:r>
      <w:r w:rsidRPr="00BF1DE3">
        <w:rPr>
          <w:sz w:val="23"/>
          <w:szCs w:val="23"/>
        </w:rPr>
        <w:t>µg/m</w:t>
      </w:r>
      <w:r w:rsidRPr="00BF1DE3">
        <w:rPr>
          <w:sz w:val="23"/>
          <w:szCs w:val="23"/>
          <w:vertAlign w:val="superscript"/>
        </w:rPr>
        <w:t>3</w:t>
      </w:r>
      <w:r w:rsidRPr="00BF1DE3">
        <w:rPr>
          <w:sz w:val="23"/>
          <w:szCs w:val="23"/>
        </w:rPr>
        <w:t>) и највећ</w:t>
      </w:r>
      <w:r w:rsidRPr="00BF1DE3">
        <w:rPr>
          <w:sz w:val="23"/>
          <w:szCs w:val="23"/>
          <w:lang w:val="sr-Cyrl-CS"/>
        </w:rPr>
        <w:t>а</w:t>
      </w:r>
      <w:r w:rsidRPr="00BF1DE3">
        <w:rPr>
          <w:sz w:val="23"/>
          <w:szCs w:val="23"/>
        </w:rPr>
        <w:t xml:space="preserve"> дневна концентрација од 368 µg/m</w:t>
      </w:r>
      <w:r w:rsidRPr="00BF1DE3">
        <w:rPr>
          <w:sz w:val="23"/>
          <w:szCs w:val="23"/>
          <w:vertAlign w:val="superscript"/>
        </w:rPr>
        <w:t>3</w:t>
      </w:r>
      <w:r w:rsidRPr="00BF1DE3">
        <w:rPr>
          <w:sz w:val="23"/>
          <w:szCs w:val="23"/>
        </w:rPr>
        <w:t>.</w:t>
      </w:r>
      <w:r w:rsidRPr="00BF1DE3">
        <w:rPr>
          <w:sz w:val="23"/>
          <w:szCs w:val="23"/>
          <w:lang w:val="sr-Cyrl-CS"/>
        </w:rPr>
        <w:t xml:space="preserve"> </w:t>
      </w:r>
    </w:p>
    <w:p w:rsidR="00BF1DE3" w:rsidRPr="00BF1DE3" w:rsidRDefault="00BF1DE3" w:rsidP="00BF1DE3">
      <w:pPr>
        <w:autoSpaceDE w:val="0"/>
        <w:autoSpaceDN w:val="0"/>
        <w:adjustRightInd w:val="0"/>
        <w:spacing w:after="240"/>
        <w:jc w:val="both"/>
        <w:rPr>
          <w:sz w:val="23"/>
          <w:szCs w:val="23"/>
          <w:lang w:val="sr-Cyrl-CS"/>
        </w:rPr>
      </w:pPr>
      <w:r w:rsidRPr="00BF1DE3">
        <w:rPr>
          <w:b/>
          <w:sz w:val="23"/>
          <w:szCs w:val="23"/>
          <w:lang w:val="sr-Cyrl-CS"/>
        </w:rPr>
        <w:t>У 2014.години</w:t>
      </w:r>
      <w:r w:rsidRPr="00BF1DE3">
        <w:rPr>
          <w:sz w:val="23"/>
          <w:szCs w:val="23"/>
          <w:lang w:val="sr-Cyrl-CS"/>
        </w:rPr>
        <w:t>, на мерном месту АМС у Ужицу, расположивост података за ПМ</w:t>
      </w:r>
      <w:r w:rsidRPr="00BF1DE3">
        <w:rPr>
          <w:sz w:val="23"/>
          <w:szCs w:val="23"/>
          <w:vertAlign w:val="subscript"/>
          <w:lang w:val="sr-Cyrl-CS"/>
        </w:rPr>
        <w:t>10</w:t>
      </w:r>
      <w:r w:rsidRPr="00BF1DE3">
        <w:rPr>
          <w:sz w:val="23"/>
          <w:szCs w:val="23"/>
          <w:lang w:val="sr-Cyrl-CS"/>
        </w:rPr>
        <w:t xml:space="preserve"> је била 94 % што је било довољно за израду Извештаја о стању квалитета ваздуха у 2014.години. </w:t>
      </w:r>
    </w:p>
    <w:p w:rsidR="00BF1DE3" w:rsidRPr="00BF1DE3" w:rsidRDefault="00BF1DE3" w:rsidP="00BF1DE3">
      <w:pPr>
        <w:autoSpaceDE w:val="0"/>
        <w:autoSpaceDN w:val="0"/>
        <w:adjustRightInd w:val="0"/>
        <w:spacing w:after="240"/>
        <w:jc w:val="both"/>
        <w:rPr>
          <w:sz w:val="23"/>
          <w:szCs w:val="23"/>
        </w:rPr>
      </w:pPr>
      <w:r w:rsidRPr="00BF1DE3">
        <w:rPr>
          <w:sz w:val="23"/>
          <w:szCs w:val="23"/>
          <w:lang w:val="sr-Cyrl-CS"/>
        </w:rPr>
        <w:t xml:space="preserve">Према </w:t>
      </w:r>
      <w:r w:rsidRPr="00BF1DE3">
        <w:rPr>
          <w:sz w:val="23"/>
          <w:szCs w:val="23"/>
        </w:rPr>
        <w:t xml:space="preserve">подацима о концентрацијама </w:t>
      </w:r>
      <w:r w:rsidRPr="00BF1DE3">
        <w:rPr>
          <w:sz w:val="23"/>
          <w:szCs w:val="23"/>
          <w:lang w:val="sr-Cyrl-CS"/>
        </w:rPr>
        <w:t>ПМ</w:t>
      </w:r>
      <w:r w:rsidRPr="00BF1DE3">
        <w:rPr>
          <w:sz w:val="23"/>
          <w:szCs w:val="23"/>
          <w:vertAlign w:val="subscript"/>
          <w:lang w:val="sr-Cyrl-CS"/>
        </w:rPr>
        <w:t>10</w:t>
      </w:r>
      <w:r w:rsidRPr="00BF1DE3">
        <w:rPr>
          <w:sz w:val="23"/>
          <w:szCs w:val="23"/>
        </w:rPr>
        <w:t xml:space="preserve"> у ваздуху околине, на мерном месту АМС у </w:t>
      </w:r>
      <w:r w:rsidRPr="00BF1DE3">
        <w:rPr>
          <w:sz w:val="23"/>
          <w:szCs w:val="23"/>
          <w:lang w:val="sr-Cyrl-CS"/>
        </w:rPr>
        <w:t xml:space="preserve"> </w:t>
      </w:r>
      <w:r w:rsidRPr="00BF1DE3">
        <w:rPr>
          <w:sz w:val="23"/>
          <w:szCs w:val="23"/>
        </w:rPr>
        <w:t xml:space="preserve">Ужицу је у 2014.години ваздух био III категорије, јер су прекорачене толерантне вредности концентрација </w:t>
      </w:r>
      <w:r w:rsidRPr="00BF1DE3">
        <w:rPr>
          <w:sz w:val="23"/>
          <w:szCs w:val="23"/>
          <w:lang w:val="sr-Cyrl-CS"/>
        </w:rPr>
        <w:t>ПМ</w:t>
      </w:r>
      <w:r w:rsidRPr="00BF1DE3">
        <w:rPr>
          <w:sz w:val="23"/>
          <w:szCs w:val="23"/>
          <w:vertAlign w:val="subscript"/>
          <w:lang w:val="sr-Cyrl-CS"/>
        </w:rPr>
        <w:t>10</w:t>
      </w:r>
      <w:r w:rsidRPr="00BF1DE3">
        <w:rPr>
          <w:sz w:val="23"/>
          <w:szCs w:val="23"/>
        </w:rPr>
        <w:t xml:space="preserve">. </w:t>
      </w:r>
      <w:r w:rsidRPr="00BF1DE3">
        <w:rPr>
          <w:sz w:val="23"/>
          <w:szCs w:val="23"/>
          <w:lang w:val="sr-Cyrl-CS"/>
        </w:rPr>
        <w:t xml:space="preserve">На овом мерном месту  забележено је 146 мерења преко ГВ (50 </w:t>
      </w:r>
      <w:r w:rsidRPr="00BF1DE3">
        <w:rPr>
          <w:sz w:val="23"/>
          <w:szCs w:val="23"/>
        </w:rPr>
        <w:t>µg/m</w:t>
      </w:r>
      <w:r w:rsidRPr="00BF1DE3">
        <w:rPr>
          <w:sz w:val="23"/>
          <w:szCs w:val="23"/>
          <w:vertAlign w:val="superscript"/>
        </w:rPr>
        <w:t>3</w:t>
      </w:r>
      <w:r w:rsidRPr="00BF1DE3">
        <w:rPr>
          <w:sz w:val="23"/>
          <w:szCs w:val="23"/>
        </w:rPr>
        <w:t>) и највећ</w:t>
      </w:r>
      <w:r w:rsidRPr="00BF1DE3">
        <w:rPr>
          <w:sz w:val="23"/>
          <w:szCs w:val="23"/>
          <w:lang w:val="sr-Cyrl-CS"/>
        </w:rPr>
        <w:t>а</w:t>
      </w:r>
      <w:r w:rsidRPr="00BF1DE3">
        <w:rPr>
          <w:sz w:val="23"/>
          <w:szCs w:val="23"/>
        </w:rPr>
        <w:t xml:space="preserve"> дневна концентрација од 382 µg/m</w:t>
      </w:r>
      <w:r w:rsidRPr="00BF1DE3">
        <w:rPr>
          <w:sz w:val="23"/>
          <w:szCs w:val="23"/>
          <w:vertAlign w:val="superscript"/>
        </w:rPr>
        <w:t>3</w:t>
      </w:r>
      <w:r w:rsidR="008045E1">
        <w:rPr>
          <w:sz w:val="23"/>
          <w:szCs w:val="23"/>
          <w:lang w:val="sr-Cyrl-CS"/>
        </w:rPr>
        <w:t>.</w:t>
      </w:r>
      <w:r w:rsidRPr="00BF1DE3">
        <w:rPr>
          <w:sz w:val="23"/>
          <w:szCs w:val="23"/>
          <w:lang w:val="sr-Cyrl-CS"/>
        </w:rPr>
        <w:t xml:space="preserve"> </w:t>
      </w:r>
    </w:p>
    <w:p w:rsidR="00BF1DE3" w:rsidRPr="00BF1DE3" w:rsidRDefault="00BF1DE3" w:rsidP="00BF1DE3">
      <w:pPr>
        <w:autoSpaceDE w:val="0"/>
        <w:autoSpaceDN w:val="0"/>
        <w:adjustRightInd w:val="0"/>
        <w:spacing w:after="240"/>
        <w:jc w:val="both"/>
        <w:rPr>
          <w:sz w:val="23"/>
          <w:szCs w:val="23"/>
          <w:lang w:val="sr-Latn-CS"/>
        </w:rPr>
      </w:pPr>
      <w:r w:rsidRPr="00BF1DE3">
        <w:rPr>
          <w:sz w:val="23"/>
          <w:szCs w:val="23"/>
          <w:lang w:val="sr-Cyrl-CS"/>
        </w:rPr>
        <w:t>У суспендованим честицама ПМ</w:t>
      </w:r>
      <w:r w:rsidRPr="00BF1DE3">
        <w:rPr>
          <w:sz w:val="23"/>
          <w:szCs w:val="23"/>
          <w:vertAlign w:val="subscript"/>
          <w:lang w:val="sr-Cyrl-CS"/>
        </w:rPr>
        <w:t>10</w:t>
      </w:r>
      <w:r w:rsidRPr="00BF1DE3">
        <w:rPr>
          <w:sz w:val="23"/>
          <w:szCs w:val="23"/>
          <w:lang w:val="sr-Cyrl-CS"/>
        </w:rPr>
        <w:t>, на мерним местима у Севојну и код АМС у Ужицу, нису забележене концентрације тешких метала изнад циљних вредности.</w:t>
      </w:r>
    </w:p>
    <w:p w:rsidR="00BF1DE3" w:rsidRPr="00BF1DE3" w:rsidRDefault="00BF1DE3" w:rsidP="00BF1DE3">
      <w:pPr>
        <w:autoSpaceDE w:val="0"/>
        <w:autoSpaceDN w:val="0"/>
        <w:adjustRightInd w:val="0"/>
        <w:spacing w:after="240"/>
        <w:jc w:val="both"/>
        <w:rPr>
          <w:b/>
          <w:sz w:val="23"/>
          <w:szCs w:val="23"/>
        </w:rPr>
      </w:pPr>
      <w:r w:rsidRPr="00BF1DE3">
        <w:rPr>
          <w:b/>
          <w:sz w:val="23"/>
          <w:szCs w:val="23"/>
          <w:lang w:val="sr-Cyrl-CS"/>
        </w:rPr>
        <w:t xml:space="preserve">У 2015. години, </w:t>
      </w:r>
      <w:r w:rsidRPr="00BF1DE3">
        <w:rPr>
          <w:sz w:val="23"/>
          <w:szCs w:val="23"/>
          <w:lang w:val="sr-Cyrl-CS"/>
        </w:rPr>
        <w:t xml:space="preserve">на мерном месту АМС у Ужицу, расположивости података била је  од    78 %. На овом мерном месту забележено је 146 мерења преко ГВ. Услед високог нивоа концентрације ПМ10 према Извештају Агенције за заштиту животне средине у 2015.години ваздух у Ужицу  је био </w:t>
      </w:r>
      <w:r w:rsidRPr="00BF1DE3">
        <w:rPr>
          <w:sz w:val="23"/>
          <w:szCs w:val="23"/>
          <w:lang w:val="sr-Latn-CS"/>
        </w:rPr>
        <w:t xml:space="preserve">III </w:t>
      </w:r>
      <w:r w:rsidRPr="00BF1DE3">
        <w:rPr>
          <w:sz w:val="23"/>
          <w:szCs w:val="23"/>
          <w:lang w:val="sr-Cyrl-CS"/>
        </w:rPr>
        <w:t>категорије.</w:t>
      </w:r>
    </w:p>
    <w:p w:rsidR="00C8607D" w:rsidRPr="00062B71" w:rsidRDefault="00C8607D" w:rsidP="00EC7E57">
      <w:pPr>
        <w:autoSpaceDE w:val="0"/>
        <w:autoSpaceDN w:val="0"/>
        <w:adjustRightInd w:val="0"/>
        <w:spacing w:after="240"/>
        <w:jc w:val="both"/>
        <w:rPr>
          <w:sz w:val="23"/>
          <w:szCs w:val="23"/>
          <w:lang w:val="sr-Cyrl-CS"/>
        </w:rPr>
      </w:pPr>
      <w:r w:rsidRPr="00062B71">
        <w:rPr>
          <w:sz w:val="23"/>
          <w:szCs w:val="23"/>
          <w:lang w:val="sr-Cyrl-CS"/>
        </w:rPr>
        <w:t>Анализом резултата монитринга концентрације чађи у Ужицу и Севојну за период од 2012. до 2016. године види се значајан тренд смањења броја дана у години са прекораченим граничним вредностима и средњих годишњих вредности за чађ.</w:t>
      </w:r>
    </w:p>
    <w:p w:rsidR="007A30C7" w:rsidRDefault="00C8607D" w:rsidP="00062B71">
      <w:pPr>
        <w:autoSpaceDE w:val="0"/>
        <w:autoSpaceDN w:val="0"/>
        <w:adjustRightInd w:val="0"/>
        <w:spacing w:after="240"/>
        <w:jc w:val="both"/>
        <w:rPr>
          <w:sz w:val="23"/>
          <w:szCs w:val="23"/>
          <w:lang w:val="sr-Cyrl-CS"/>
        </w:rPr>
      </w:pPr>
      <w:r w:rsidRPr="00062B71">
        <w:rPr>
          <w:sz w:val="23"/>
          <w:szCs w:val="23"/>
          <w:lang w:val="sr-Cyrl-CS"/>
        </w:rPr>
        <w:t xml:space="preserve">Овај период је изабран </w:t>
      </w:r>
      <w:r w:rsidR="00062B71">
        <w:rPr>
          <w:sz w:val="23"/>
          <w:szCs w:val="23"/>
          <w:lang w:val="sr-Cyrl-CS"/>
        </w:rPr>
        <w:t>из разлога што</w:t>
      </w:r>
      <w:r w:rsidRPr="00062B71">
        <w:rPr>
          <w:sz w:val="23"/>
          <w:szCs w:val="23"/>
          <w:lang w:val="sr-Cyrl-CS"/>
        </w:rPr>
        <w:t xml:space="preserve"> је 2012. године </w:t>
      </w:r>
      <w:r w:rsidR="00122FA7">
        <w:rPr>
          <w:sz w:val="23"/>
          <w:szCs w:val="23"/>
          <w:lang w:val="sr-Cyrl-CS"/>
        </w:rPr>
        <w:t xml:space="preserve">укинуто мерно место </w:t>
      </w:r>
      <w:r w:rsidR="00F067E6">
        <w:rPr>
          <w:sz w:val="23"/>
          <w:szCs w:val="23"/>
          <w:lang w:val="sr-Cyrl-CS"/>
        </w:rPr>
        <w:t>„</w:t>
      </w:r>
      <w:r w:rsidR="00122FA7">
        <w:rPr>
          <w:sz w:val="23"/>
          <w:szCs w:val="23"/>
          <w:lang w:val="sr-Cyrl-CS"/>
        </w:rPr>
        <w:t>ПИОР</w:t>
      </w:r>
      <w:r w:rsidR="00F067E6">
        <w:rPr>
          <w:sz w:val="23"/>
          <w:szCs w:val="23"/>
          <w:lang w:val="sr-Cyrl-CS"/>
        </w:rPr>
        <w:t>“, а</w:t>
      </w:r>
      <w:r w:rsidR="00122FA7">
        <w:rPr>
          <w:sz w:val="23"/>
          <w:szCs w:val="23"/>
          <w:lang w:val="sr-Cyrl-CS"/>
        </w:rPr>
        <w:t xml:space="preserve"> </w:t>
      </w:r>
      <w:r w:rsidRPr="00062B71">
        <w:rPr>
          <w:sz w:val="23"/>
          <w:szCs w:val="23"/>
          <w:lang w:val="sr-Cyrl-CS"/>
        </w:rPr>
        <w:t>усп</w:t>
      </w:r>
      <w:r w:rsidR="008045E1">
        <w:rPr>
          <w:sz w:val="23"/>
          <w:szCs w:val="23"/>
          <w:lang w:val="sr-Cyrl-CS"/>
        </w:rPr>
        <w:t>о</w:t>
      </w:r>
      <w:r w:rsidRPr="00062B71">
        <w:rPr>
          <w:sz w:val="23"/>
          <w:szCs w:val="23"/>
          <w:lang w:val="sr-Cyrl-CS"/>
        </w:rPr>
        <w:t xml:space="preserve">стављено </w:t>
      </w:r>
      <w:r w:rsidR="00F067E6">
        <w:rPr>
          <w:sz w:val="23"/>
          <w:szCs w:val="23"/>
          <w:lang w:val="sr-Cyrl-CS"/>
        </w:rPr>
        <w:t xml:space="preserve">ново </w:t>
      </w:r>
      <w:r w:rsidRPr="00062B71">
        <w:rPr>
          <w:sz w:val="23"/>
          <w:szCs w:val="23"/>
          <w:lang w:val="sr-Cyrl-CS"/>
        </w:rPr>
        <w:t xml:space="preserve">мерно место </w:t>
      </w:r>
      <w:r w:rsidR="00F067E6">
        <w:rPr>
          <w:sz w:val="23"/>
          <w:szCs w:val="23"/>
          <w:lang w:val="sr-Cyrl-CS"/>
        </w:rPr>
        <w:t>„</w:t>
      </w:r>
      <w:r w:rsidRPr="00062B71">
        <w:rPr>
          <w:sz w:val="23"/>
          <w:szCs w:val="23"/>
          <w:lang w:val="sr-Cyrl-CS"/>
        </w:rPr>
        <w:t>Зелени пијац</w:t>
      </w:r>
      <w:r w:rsidR="00F067E6">
        <w:rPr>
          <w:sz w:val="23"/>
          <w:szCs w:val="23"/>
          <w:lang w:val="sr-Cyrl-CS"/>
        </w:rPr>
        <w:t>“</w:t>
      </w:r>
      <w:r w:rsidRPr="00062B71">
        <w:rPr>
          <w:sz w:val="23"/>
          <w:szCs w:val="23"/>
          <w:lang w:val="sr-Cyrl-CS"/>
        </w:rPr>
        <w:t xml:space="preserve">. Мерним местом </w:t>
      </w:r>
      <w:r w:rsidR="00F067E6">
        <w:rPr>
          <w:sz w:val="23"/>
          <w:szCs w:val="23"/>
          <w:lang w:val="sr-Cyrl-CS"/>
        </w:rPr>
        <w:t>„</w:t>
      </w:r>
      <w:r w:rsidRPr="00062B71">
        <w:rPr>
          <w:sz w:val="23"/>
          <w:szCs w:val="23"/>
          <w:lang w:val="sr-Cyrl-CS"/>
        </w:rPr>
        <w:t>Зелени пијац</w:t>
      </w:r>
      <w:r w:rsidR="00F067E6">
        <w:rPr>
          <w:sz w:val="23"/>
          <w:szCs w:val="23"/>
          <w:lang w:val="sr-Cyrl-CS"/>
        </w:rPr>
        <w:t>“</w:t>
      </w:r>
      <w:r w:rsidRPr="00062B71">
        <w:rPr>
          <w:sz w:val="23"/>
          <w:szCs w:val="23"/>
          <w:lang w:val="sr-Cyrl-CS"/>
        </w:rPr>
        <w:t xml:space="preserve"> управља Завод за јавно здравље Ужице у оквиру државне мреже и врши континуални годишњи мониторинг чађи, сумпор диоксиода и азот диоксида. Мерно место је окарактерисано као </w:t>
      </w:r>
      <w:r w:rsidR="00062B71" w:rsidRPr="00062B71">
        <w:rPr>
          <w:sz w:val="23"/>
          <w:szCs w:val="23"/>
          <w:lang w:val="sr-Cyrl-CS"/>
        </w:rPr>
        <w:t>„</w:t>
      </w:r>
      <w:r w:rsidRPr="00062B71">
        <w:rPr>
          <w:sz w:val="23"/>
          <w:szCs w:val="23"/>
          <w:lang w:val="sr-Cyrl-CS"/>
        </w:rPr>
        <w:t>урбан</w:t>
      </w:r>
      <w:r w:rsidR="00062B71" w:rsidRPr="00062B71">
        <w:rPr>
          <w:sz w:val="23"/>
          <w:szCs w:val="23"/>
          <w:lang w:val="sr-Cyrl-CS"/>
        </w:rPr>
        <w:t>о“</w:t>
      </w:r>
      <w:r w:rsidRPr="00062B71">
        <w:rPr>
          <w:sz w:val="23"/>
          <w:szCs w:val="23"/>
          <w:lang w:val="sr-Cyrl-CS"/>
        </w:rPr>
        <w:t>, градско без непосредног утицаја неког специфичног извора загађења.</w:t>
      </w:r>
      <w:r w:rsidR="00BF1DE3">
        <w:rPr>
          <w:sz w:val="23"/>
          <w:szCs w:val="23"/>
          <w:lang w:val="sr-Cyrl-CS"/>
        </w:rPr>
        <w:t xml:space="preserve"> </w:t>
      </w:r>
      <w:r w:rsidRPr="00062B71">
        <w:rPr>
          <w:sz w:val="23"/>
          <w:szCs w:val="23"/>
          <w:lang w:val="sr-Cyrl-CS"/>
        </w:rPr>
        <w:t>Мерно место Амбуланта Севојно је приградског типа и на њему се такође врши мониторинг чађи, сумпор диоксида и азот диоксида у</w:t>
      </w:r>
      <w:r w:rsidR="00062B71">
        <w:rPr>
          <w:sz w:val="23"/>
          <w:szCs w:val="23"/>
          <w:lang w:val="sr-Cyrl-CS"/>
        </w:rPr>
        <w:t xml:space="preserve"> </w:t>
      </w:r>
      <w:r w:rsidRPr="00062B71">
        <w:rPr>
          <w:sz w:val="23"/>
          <w:szCs w:val="23"/>
          <w:lang w:val="sr-Cyrl-CS"/>
        </w:rPr>
        <w:t>склопу локалног мониторинга.</w:t>
      </w:r>
    </w:p>
    <w:p w:rsidR="00BF1DE3" w:rsidRDefault="00BF1DE3" w:rsidP="00062B71">
      <w:pPr>
        <w:autoSpaceDE w:val="0"/>
        <w:autoSpaceDN w:val="0"/>
        <w:adjustRightInd w:val="0"/>
        <w:jc w:val="both"/>
        <w:rPr>
          <w:sz w:val="23"/>
          <w:szCs w:val="23"/>
          <w:lang w:val="sr-Cyrl-CS"/>
        </w:rPr>
      </w:pPr>
      <w:r>
        <w:rPr>
          <w:sz w:val="23"/>
          <w:szCs w:val="23"/>
          <w:lang w:val="sr-Cyrl-CS"/>
        </w:rPr>
        <w:t xml:space="preserve">Табела 2. Концентрација чађи на мерном месту </w:t>
      </w:r>
      <w:r w:rsidR="00F067E6">
        <w:rPr>
          <w:sz w:val="23"/>
          <w:szCs w:val="23"/>
          <w:lang w:val="sr-Cyrl-CS"/>
        </w:rPr>
        <w:t>„</w:t>
      </w:r>
      <w:r>
        <w:rPr>
          <w:sz w:val="23"/>
          <w:szCs w:val="23"/>
          <w:lang w:val="sr-Cyrl-CS"/>
        </w:rPr>
        <w:t>Зелени пијац</w:t>
      </w:r>
      <w:r w:rsidR="00F067E6">
        <w:rPr>
          <w:sz w:val="23"/>
          <w:szCs w:val="23"/>
          <w:lang w:val="sr-Cyrl-CS"/>
        </w:rPr>
        <w:t>“</w:t>
      </w:r>
    </w:p>
    <w:p w:rsidR="003D4B9C" w:rsidRDefault="003D4B9C" w:rsidP="00062B71">
      <w:pPr>
        <w:autoSpaceDE w:val="0"/>
        <w:autoSpaceDN w:val="0"/>
        <w:adjustRightInd w:val="0"/>
        <w:jc w:val="both"/>
        <w:rPr>
          <w:sz w:val="23"/>
          <w:szCs w:val="23"/>
          <w:lang w:val="sr-Cyrl-CS"/>
        </w:rPr>
      </w:pPr>
    </w:p>
    <w:tbl>
      <w:tblPr>
        <w:tblStyle w:val="TableGrid"/>
        <w:tblW w:w="9580" w:type="dxa"/>
        <w:tblLook w:val="04A0" w:firstRow="1" w:lastRow="0" w:firstColumn="1" w:lastColumn="0" w:noHBand="0" w:noVBand="1"/>
      </w:tblPr>
      <w:tblGrid>
        <w:gridCol w:w="892"/>
        <w:gridCol w:w="638"/>
        <w:gridCol w:w="638"/>
        <w:gridCol w:w="639"/>
        <w:gridCol w:w="639"/>
        <w:gridCol w:w="639"/>
        <w:gridCol w:w="639"/>
        <w:gridCol w:w="639"/>
        <w:gridCol w:w="639"/>
        <w:gridCol w:w="639"/>
        <w:gridCol w:w="639"/>
        <w:gridCol w:w="639"/>
        <w:gridCol w:w="666"/>
        <w:gridCol w:w="995"/>
      </w:tblGrid>
      <w:tr w:rsidR="00C8607D" w:rsidTr="00BF1DE3">
        <w:trPr>
          <w:trHeight w:val="612"/>
        </w:trPr>
        <w:tc>
          <w:tcPr>
            <w:tcW w:w="9580" w:type="dxa"/>
            <w:gridSpan w:val="14"/>
            <w:vAlign w:val="center"/>
          </w:tcPr>
          <w:p w:rsidR="00C8607D" w:rsidRPr="003F16B0" w:rsidRDefault="00F82DFE" w:rsidP="00A97845">
            <w:pPr>
              <w:jc w:val="center"/>
              <w:rPr>
                <w:b/>
                <w:sz w:val="20"/>
                <w:szCs w:val="20"/>
              </w:rPr>
            </w:pPr>
            <w:r w:rsidRPr="003F16B0">
              <w:rPr>
                <w:b/>
                <w:sz w:val="20"/>
                <w:szCs w:val="20"/>
              </w:rPr>
              <w:t>Ужице</w:t>
            </w:r>
            <w:r w:rsidR="00C8607D" w:rsidRPr="003F16B0">
              <w:rPr>
                <w:b/>
                <w:sz w:val="20"/>
                <w:szCs w:val="20"/>
                <w:lang w:val="sr-Latn-BA"/>
              </w:rPr>
              <w:t xml:space="preserve"> </w:t>
            </w:r>
            <w:r w:rsidR="00C8607D" w:rsidRPr="003F16B0">
              <w:rPr>
                <w:b/>
                <w:sz w:val="20"/>
                <w:szCs w:val="20"/>
              </w:rPr>
              <w:t>- Зелени пијац</w:t>
            </w:r>
          </w:p>
          <w:p w:rsidR="00C8607D" w:rsidRPr="002F70F5" w:rsidRDefault="00C8607D" w:rsidP="002F70F5">
            <w:pPr>
              <w:jc w:val="center"/>
              <w:rPr>
                <w:lang w:val="sr-Cyrl-CS"/>
              </w:rPr>
            </w:pPr>
            <w:r w:rsidRPr="00664E21">
              <w:t>ЧАЂ</w:t>
            </w:r>
            <w:r w:rsidRPr="00664E21">
              <w:rPr>
                <w:rFonts w:ascii="Symbol" w:hAnsi="Symbol"/>
                <w:lang w:val="sr-Latn-BA"/>
              </w:rPr>
              <w:t></w:t>
            </w:r>
            <w:r w:rsidRPr="003F16B0">
              <w:rPr>
                <w:rFonts w:ascii="Symbol" w:hAnsi="Symbol"/>
                <w:sz w:val="20"/>
                <w:lang w:val="sr-Latn-BA"/>
              </w:rPr>
              <w:t></w:t>
            </w:r>
            <w:r w:rsidRPr="00664E21">
              <w:rPr>
                <w:lang w:val="sr-Latn-BA"/>
              </w:rPr>
              <w:t>g/m</w:t>
            </w:r>
            <w:r w:rsidRPr="00664E21">
              <w:rPr>
                <w:vertAlign w:val="superscript"/>
                <w:lang w:val="sr-Latn-BA"/>
              </w:rPr>
              <w:t>3</w:t>
            </w:r>
            <w:r w:rsidR="002F70F5">
              <w:rPr>
                <w:vertAlign w:val="superscript"/>
                <w:lang w:val="sr-Cyrl-CS"/>
              </w:rPr>
              <w:t xml:space="preserve"> </w:t>
            </w:r>
            <w:r w:rsidR="002F70F5">
              <w:rPr>
                <w:lang w:val="sr-Cyrl-CS"/>
              </w:rPr>
              <w:t xml:space="preserve"> (ГВ 50</w:t>
            </w:r>
            <w:r w:rsidR="002F70F5" w:rsidRPr="00664E21">
              <w:rPr>
                <w:rFonts w:ascii="Symbol" w:hAnsi="Symbol"/>
                <w:lang w:val="sr-Latn-BA"/>
              </w:rPr>
              <w:t></w:t>
            </w:r>
            <w:r w:rsidR="002F70F5" w:rsidRPr="003F16B0">
              <w:rPr>
                <w:rFonts w:ascii="Symbol" w:hAnsi="Symbol"/>
                <w:sz w:val="20"/>
                <w:lang w:val="sr-Latn-BA"/>
              </w:rPr>
              <w:t></w:t>
            </w:r>
            <w:r w:rsidR="002F70F5" w:rsidRPr="00664E21">
              <w:rPr>
                <w:lang w:val="sr-Latn-BA"/>
              </w:rPr>
              <w:t>g/m</w:t>
            </w:r>
            <w:r w:rsidR="002F70F5" w:rsidRPr="00664E21">
              <w:rPr>
                <w:vertAlign w:val="superscript"/>
                <w:lang w:val="sr-Latn-BA"/>
              </w:rPr>
              <w:t>3</w:t>
            </w:r>
            <w:r w:rsidR="002F70F5">
              <w:rPr>
                <w:lang w:val="sr-Cyrl-CS"/>
              </w:rPr>
              <w:t xml:space="preserve"> )</w:t>
            </w:r>
          </w:p>
        </w:tc>
      </w:tr>
      <w:tr w:rsidR="00C8607D" w:rsidTr="00BF1DE3">
        <w:tc>
          <w:tcPr>
            <w:tcW w:w="892" w:type="dxa"/>
            <w:vAlign w:val="bottom"/>
          </w:tcPr>
          <w:p w:rsidR="00C8607D" w:rsidRDefault="00C8607D" w:rsidP="00C8607D">
            <w:pPr>
              <w:jc w:val="center"/>
              <w:rPr>
                <w:color w:val="000000"/>
                <w:sz w:val="20"/>
                <w:szCs w:val="20"/>
              </w:rPr>
            </w:pPr>
            <w:r>
              <w:rPr>
                <w:color w:val="000000"/>
                <w:sz w:val="20"/>
                <w:szCs w:val="20"/>
              </w:rPr>
              <w:t>Година/</w:t>
            </w:r>
          </w:p>
          <w:p w:rsidR="00C8607D" w:rsidRPr="00664E21" w:rsidRDefault="00C8607D" w:rsidP="00C8607D">
            <w:pPr>
              <w:jc w:val="center"/>
              <w:rPr>
                <w:color w:val="000000"/>
                <w:sz w:val="20"/>
                <w:szCs w:val="20"/>
              </w:rPr>
            </w:pPr>
            <w:r>
              <w:rPr>
                <w:color w:val="000000"/>
                <w:sz w:val="20"/>
                <w:szCs w:val="20"/>
              </w:rPr>
              <w:t>месец</w:t>
            </w:r>
          </w:p>
        </w:tc>
        <w:tc>
          <w:tcPr>
            <w:tcW w:w="638" w:type="dxa"/>
            <w:vAlign w:val="bottom"/>
          </w:tcPr>
          <w:p w:rsidR="00C8607D" w:rsidRPr="00664E21" w:rsidRDefault="00C8607D" w:rsidP="00C8607D">
            <w:pPr>
              <w:jc w:val="center"/>
              <w:rPr>
                <w:color w:val="000000"/>
                <w:sz w:val="20"/>
                <w:szCs w:val="20"/>
              </w:rPr>
            </w:pPr>
            <w:r w:rsidRPr="00664E21">
              <w:rPr>
                <w:color w:val="000000"/>
                <w:sz w:val="20"/>
                <w:szCs w:val="20"/>
              </w:rPr>
              <w:t>I</w:t>
            </w:r>
          </w:p>
        </w:tc>
        <w:tc>
          <w:tcPr>
            <w:tcW w:w="638" w:type="dxa"/>
            <w:vAlign w:val="bottom"/>
          </w:tcPr>
          <w:p w:rsidR="00C8607D" w:rsidRPr="00664E21" w:rsidRDefault="00C8607D" w:rsidP="00C8607D">
            <w:pPr>
              <w:jc w:val="center"/>
              <w:rPr>
                <w:color w:val="000000"/>
                <w:sz w:val="20"/>
                <w:szCs w:val="20"/>
              </w:rPr>
            </w:pPr>
            <w:r w:rsidRPr="00664E21">
              <w:rPr>
                <w:color w:val="000000"/>
                <w:sz w:val="20"/>
                <w:szCs w:val="20"/>
              </w:rPr>
              <w:t>II</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III</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IV</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V</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VI</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VII</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VIII</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IX</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X</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XI</w:t>
            </w:r>
          </w:p>
        </w:tc>
        <w:tc>
          <w:tcPr>
            <w:tcW w:w="666" w:type="dxa"/>
            <w:vAlign w:val="bottom"/>
          </w:tcPr>
          <w:p w:rsidR="00C8607D" w:rsidRPr="00664E21" w:rsidRDefault="00C8607D" w:rsidP="00C8607D">
            <w:pPr>
              <w:jc w:val="center"/>
              <w:rPr>
                <w:color w:val="000000"/>
                <w:sz w:val="20"/>
                <w:szCs w:val="20"/>
              </w:rPr>
            </w:pPr>
            <w:r w:rsidRPr="00664E21">
              <w:rPr>
                <w:color w:val="000000"/>
                <w:sz w:val="20"/>
                <w:szCs w:val="20"/>
              </w:rPr>
              <w:t>XII</w:t>
            </w:r>
          </w:p>
        </w:tc>
        <w:tc>
          <w:tcPr>
            <w:tcW w:w="995" w:type="dxa"/>
            <w:vAlign w:val="bottom"/>
          </w:tcPr>
          <w:p w:rsidR="00C8607D" w:rsidRPr="00664E21" w:rsidRDefault="00062B71" w:rsidP="00C8607D">
            <w:pPr>
              <w:jc w:val="center"/>
              <w:rPr>
                <w:color w:val="000000"/>
                <w:sz w:val="20"/>
                <w:szCs w:val="20"/>
              </w:rPr>
            </w:pPr>
            <w:r>
              <w:rPr>
                <w:color w:val="000000"/>
                <w:sz w:val="20"/>
                <w:szCs w:val="20"/>
              </w:rPr>
              <w:t>Сред</w:t>
            </w:r>
            <w:r w:rsidR="00C8607D">
              <w:rPr>
                <w:color w:val="000000"/>
                <w:sz w:val="20"/>
                <w:szCs w:val="20"/>
              </w:rPr>
              <w:t>ња годишња</w:t>
            </w:r>
          </w:p>
        </w:tc>
      </w:tr>
      <w:tr w:rsidR="00C8607D" w:rsidTr="00BF1DE3">
        <w:trPr>
          <w:trHeight w:val="289"/>
        </w:trPr>
        <w:tc>
          <w:tcPr>
            <w:tcW w:w="892" w:type="dxa"/>
            <w:vAlign w:val="bottom"/>
          </w:tcPr>
          <w:p w:rsidR="00C8607D" w:rsidRPr="00664E21" w:rsidRDefault="00C8607D" w:rsidP="00C8607D">
            <w:pPr>
              <w:jc w:val="center"/>
              <w:rPr>
                <w:color w:val="000000"/>
                <w:sz w:val="20"/>
                <w:szCs w:val="20"/>
              </w:rPr>
            </w:pPr>
            <w:r w:rsidRPr="00664E21">
              <w:rPr>
                <w:color w:val="000000"/>
                <w:sz w:val="20"/>
                <w:szCs w:val="20"/>
              </w:rPr>
              <w:t>2012</w:t>
            </w:r>
          </w:p>
        </w:tc>
        <w:tc>
          <w:tcPr>
            <w:tcW w:w="638" w:type="dxa"/>
            <w:vAlign w:val="bottom"/>
          </w:tcPr>
          <w:p w:rsidR="00C8607D" w:rsidRPr="00664E21" w:rsidRDefault="00C8607D" w:rsidP="00C8607D">
            <w:pPr>
              <w:jc w:val="center"/>
              <w:rPr>
                <w:color w:val="000000"/>
                <w:sz w:val="20"/>
                <w:szCs w:val="20"/>
              </w:rPr>
            </w:pPr>
            <w:r w:rsidRPr="00664E21">
              <w:rPr>
                <w:color w:val="000000"/>
                <w:sz w:val="20"/>
                <w:szCs w:val="20"/>
              </w:rPr>
              <w:t>62.5</w:t>
            </w:r>
          </w:p>
        </w:tc>
        <w:tc>
          <w:tcPr>
            <w:tcW w:w="638" w:type="dxa"/>
            <w:vAlign w:val="bottom"/>
          </w:tcPr>
          <w:p w:rsidR="00C8607D" w:rsidRPr="00664E21" w:rsidRDefault="00C8607D" w:rsidP="00C8607D">
            <w:pPr>
              <w:jc w:val="center"/>
              <w:rPr>
                <w:color w:val="000000"/>
                <w:sz w:val="20"/>
                <w:szCs w:val="20"/>
              </w:rPr>
            </w:pPr>
            <w:r w:rsidRPr="00664E21">
              <w:rPr>
                <w:color w:val="000000"/>
                <w:sz w:val="20"/>
                <w:szCs w:val="20"/>
              </w:rPr>
              <w:t>63.6</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48.1</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40.6</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27.2</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22.3</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10.9</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25.1</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34.3</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53.9</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96.8</w:t>
            </w:r>
          </w:p>
        </w:tc>
        <w:tc>
          <w:tcPr>
            <w:tcW w:w="666" w:type="dxa"/>
            <w:vAlign w:val="bottom"/>
          </w:tcPr>
          <w:p w:rsidR="00C8607D" w:rsidRPr="00664E21" w:rsidRDefault="00C8607D" w:rsidP="00C8607D">
            <w:pPr>
              <w:jc w:val="center"/>
              <w:rPr>
                <w:color w:val="000000"/>
                <w:sz w:val="20"/>
                <w:szCs w:val="20"/>
              </w:rPr>
            </w:pPr>
            <w:r w:rsidRPr="00664E21">
              <w:rPr>
                <w:color w:val="000000"/>
                <w:sz w:val="20"/>
                <w:szCs w:val="20"/>
              </w:rPr>
              <w:t>139.4</w:t>
            </w:r>
          </w:p>
        </w:tc>
        <w:tc>
          <w:tcPr>
            <w:tcW w:w="995" w:type="dxa"/>
            <w:vAlign w:val="bottom"/>
          </w:tcPr>
          <w:p w:rsidR="00C8607D" w:rsidRPr="00664E21" w:rsidRDefault="00C8607D" w:rsidP="00C8607D">
            <w:pPr>
              <w:jc w:val="center"/>
              <w:rPr>
                <w:color w:val="000000"/>
                <w:sz w:val="20"/>
                <w:szCs w:val="20"/>
              </w:rPr>
            </w:pPr>
            <w:r w:rsidRPr="00664E21">
              <w:rPr>
                <w:color w:val="000000"/>
                <w:sz w:val="20"/>
                <w:szCs w:val="20"/>
              </w:rPr>
              <w:t>52.1</w:t>
            </w:r>
          </w:p>
        </w:tc>
      </w:tr>
      <w:tr w:rsidR="00C8607D" w:rsidTr="00BF1DE3">
        <w:trPr>
          <w:trHeight w:val="289"/>
        </w:trPr>
        <w:tc>
          <w:tcPr>
            <w:tcW w:w="892" w:type="dxa"/>
            <w:vAlign w:val="bottom"/>
          </w:tcPr>
          <w:p w:rsidR="00C8607D" w:rsidRPr="00664E21" w:rsidRDefault="00C8607D" w:rsidP="00C8607D">
            <w:pPr>
              <w:jc w:val="center"/>
              <w:rPr>
                <w:color w:val="000000"/>
                <w:sz w:val="20"/>
                <w:szCs w:val="20"/>
              </w:rPr>
            </w:pPr>
            <w:r w:rsidRPr="00664E21">
              <w:rPr>
                <w:color w:val="000000"/>
                <w:sz w:val="20"/>
                <w:szCs w:val="20"/>
              </w:rPr>
              <w:t>2013</w:t>
            </w:r>
          </w:p>
        </w:tc>
        <w:tc>
          <w:tcPr>
            <w:tcW w:w="638" w:type="dxa"/>
            <w:vAlign w:val="bottom"/>
          </w:tcPr>
          <w:p w:rsidR="00C8607D" w:rsidRPr="00664E21" w:rsidRDefault="00C8607D" w:rsidP="00C8607D">
            <w:pPr>
              <w:jc w:val="center"/>
              <w:rPr>
                <w:color w:val="000000"/>
                <w:sz w:val="20"/>
                <w:szCs w:val="20"/>
              </w:rPr>
            </w:pPr>
            <w:r w:rsidRPr="00664E21">
              <w:rPr>
                <w:color w:val="000000"/>
                <w:sz w:val="20"/>
                <w:szCs w:val="20"/>
              </w:rPr>
              <w:t>94.3</w:t>
            </w:r>
          </w:p>
        </w:tc>
        <w:tc>
          <w:tcPr>
            <w:tcW w:w="638" w:type="dxa"/>
            <w:vAlign w:val="bottom"/>
          </w:tcPr>
          <w:p w:rsidR="00C8607D" w:rsidRPr="00664E21" w:rsidRDefault="00C8607D" w:rsidP="00C8607D">
            <w:pPr>
              <w:jc w:val="center"/>
              <w:rPr>
                <w:color w:val="000000"/>
                <w:sz w:val="20"/>
                <w:szCs w:val="20"/>
              </w:rPr>
            </w:pPr>
            <w:r w:rsidRPr="00664E21">
              <w:rPr>
                <w:color w:val="000000"/>
                <w:sz w:val="20"/>
                <w:szCs w:val="20"/>
              </w:rPr>
              <w:t>55.5</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55.9</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34.7</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23.5</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14.6</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4.8</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12.2</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4.1</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35.5</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45.4</w:t>
            </w:r>
          </w:p>
        </w:tc>
        <w:tc>
          <w:tcPr>
            <w:tcW w:w="666" w:type="dxa"/>
            <w:vAlign w:val="bottom"/>
          </w:tcPr>
          <w:p w:rsidR="00C8607D" w:rsidRPr="00664E21" w:rsidRDefault="00C8607D" w:rsidP="00C8607D">
            <w:pPr>
              <w:jc w:val="center"/>
              <w:rPr>
                <w:color w:val="000000"/>
                <w:sz w:val="20"/>
                <w:szCs w:val="20"/>
              </w:rPr>
            </w:pPr>
            <w:r w:rsidRPr="00664E21">
              <w:rPr>
                <w:color w:val="000000"/>
                <w:sz w:val="20"/>
                <w:szCs w:val="20"/>
              </w:rPr>
              <w:t>120.2</w:t>
            </w:r>
          </w:p>
        </w:tc>
        <w:tc>
          <w:tcPr>
            <w:tcW w:w="995" w:type="dxa"/>
            <w:vAlign w:val="bottom"/>
          </w:tcPr>
          <w:p w:rsidR="00C8607D" w:rsidRPr="00664E21" w:rsidRDefault="00C8607D" w:rsidP="00C8607D">
            <w:pPr>
              <w:jc w:val="center"/>
              <w:rPr>
                <w:color w:val="000000"/>
                <w:sz w:val="20"/>
                <w:szCs w:val="20"/>
              </w:rPr>
            </w:pPr>
            <w:r w:rsidRPr="00664E21">
              <w:rPr>
                <w:color w:val="000000"/>
                <w:sz w:val="20"/>
                <w:szCs w:val="20"/>
              </w:rPr>
              <w:t>41.7</w:t>
            </w:r>
          </w:p>
        </w:tc>
      </w:tr>
      <w:tr w:rsidR="00C8607D" w:rsidTr="00BF1DE3">
        <w:trPr>
          <w:trHeight w:val="289"/>
        </w:trPr>
        <w:tc>
          <w:tcPr>
            <w:tcW w:w="892" w:type="dxa"/>
            <w:vAlign w:val="bottom"/>
          </w:tcPr>
          <w:p w:rsidR="00C8607D" w:rsidRPr="00664E21" w:rsidRDefault="00C8607D" w:rsidP="00C8607D">
            <w:pPr>
              <w:jc w:val="center"/>
              <w:rPr>
                <w:color w:val="000000"/>
                <w:sz w:val="20"/>
                <w:szCs w:val="20"/>
              </w:rPr>
            </w:pPr>
            <w:r w:rsidRPr="00664E21">
              <w:rPr>
                <w:color w:val="000000"/>
                <w:sz w:val="20"/>
                <w:szCs w:val="20"/>
              </w:rPr>
              <w:t>2014</w:t>
            </w:r>
          </w:p>
        </w:tc>
        <w:tc>
          <w:tcPr>
            <w:tcW w:w="638" w:type="dxa"/>
            <w:vAlign w:val="bottom"/>
          </w:tcPr>
          <w:p w:rsidR="00C8607D" w:rsidRPr="00664E21" w:rsidRDefault="00C8607D" w:rsidP="00C8607D">
            <w:pPr>
              <w:jc w:val="center"/>
              <w:rPr>
                <w:color w:val="000000"/>
                <w:sz w:val="20"/>
                <w:szCs w:val="20"/>
              </w:rPr>
            </w:pPr>
            <w:r w:rsidRPr="00664E21">
              <w:rPr>
                <w:color w:val="000000"/>
                <w:sz w:val="20"/>
                <w:szCs w:val="20"/>
              </w:rPr>
              <w:t>97.0</w:t>
            </w:r>
          </w:p>
        </w:tc>
        <w:tc>
          <w:tcPr>
            <w:tcW w:w="638" w:type="dxa"/>
            <w:vAlign w:val="bottom"/>
          </w:tcPr>
          <w:p w:rsidR="00C8607D" w:rsidRPr="00664E21" w:rsidRDefault="00C8607D" w:rsidP="00C8607D">
            <w:pPr>
              <w:jc w:val="center"/>
              <w:rPr>
                <w:color w:val="000000"/>
                <w:sz w:val="20"/>
                <w:szCs w:val="20"/>
              </w:rPr>
            </w:pPr>
            <w:r w:rsidRPr="00664E21">
              <w:rPr>
                <w:color w:val="000000"/>
                <w:sz w:val="20"/>
                <w:szCs w:val="20"/>
              </w:rPr>
              <w:t>63.1</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23.4</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17.6</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10.3</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5.4</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4.3</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4.0</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5.7</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29.7</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80.1</w:t>
            </w:r>
          </w:p>
        </w:tc>
        <w:tc>
          <w:tcPr>
            <w:tcW w:w="666" w:type="dxa"/>
            <w:vAlign w:val="bottom"/>
          </w:tcPr>
          <w:p w:rsidR="00C8607D" w:rsidRPr="00664E21" w:rsidRDefault="00C8607D" w:rsidP="00C8607D">
            <w:pPr>
              <w:jc w:val="center"/>
              <w:rPr>
                <w:color w:val="000000"/>
                <w:sz w:val="20"/>
                <w:szCs w:val="20"/>
              </w:rPr>
            </w:pPr>
            <w:r w:rsidRPr="00664E21">
              <w:rPr>
                <w:color w:val="000000"/>
                <w:sz w:val="20"/>
                <w:szCs w:val="20"/>
              </w:rPr>
              <w:t>65.7</w:t>
            </w:r>
          </w:p>
        </w:tc>
        <w:tc>
          <w:tcPr>
            <w:tcW w:w="995" w:type="dxa"/>
            <w:vAlign w:val="bottom"/>
          </w:tcPr>
          <w:p w:rsidR="00C8607D" w:rsidRPr="00664E21" w:rsidRDefault="00C8607D" w:rsidP="00C8607D">
            <w:pPr>
              <w:jc w:val="center"/>
              <w:rPr>
                <w:color w:val="000000"/>
                <w:sz w:val="20"/>
                <w:szCs w:val="20"/>
              </w:rPr>
            </w:pPr>
            <w:r w:rsidRPr="00664E21">
              <w:rPr>
                <w:color w:val="000000"/>
                <w:sz w:val="20"/>
                <w:szCs w:val="20"/>
              </w:rPr>
              <w:t>33.9</w:t>
            </w:r>
          </w:p>
        </w:tc>
      </w:tr>
      <w:tr w:rsidR="00C8607D" w:rsidTr="00BF1DE3">
        <w:trPr>
          <w:trHeight w:val="289"/>
        </w:trPr>
        <w:tc>
          <w:tcPr>
            <w:tcW w:w="892" w:type="dxa"/>
            <w:vAlign w:val="bottom"/>
          </w:tcPr>
          <w:p w:rsidR="00C8607D" w:rsidRPr="00664E21" w:rsidRDefault="00C8607D" w:rsidP="00C8607D">
            <w:pPr>
              <w:jc w:val="center"/>
              <w:rPr>
                <w:color w:val="000000"/>
                <w:sz w:val="20"/>
                <w:szCs w:val="20"/>
              </w:rPr>
            </w:pPr>
            <w:r w:rsidRPr="00664E21">
              <w:rPr>
                <w:color w:val="000000"/>
                <w:sz w:val="20"/>
                <w:szCs w:val="20"/>
              </w:rPr>
              <w:t>2015</w:t>
            </w:r>
          </w:p>
        </w:tc>
        <w:tc>
          <w:tcPr>
            <w:tcW w:w="638" w:type="dxa"/>
            <w:vAlign w:val="bottom"/>
          </w:tcPr>
          <w:p w:rsidR="00C8607D" w:rsidRPr="00664E21" w:rsidRDefault="00C8607D" w:rsidP="00C8607D">
            <w:pPr>
              <w:jc w:val="center"/>
              <w:rPr>
                <w:color w:val="000000"/>
                <w:sz w:val="20"/>
                <w:szCs w:val="20"/>
              </w:rPr>
            </w:pPr>
            <w:r w:rsidRPr="00664E21">
              <w:rPr>
                <w:color w:val="000000"/>
                <w:sz w:val="20"/>
                <w:szCs w:val="20"/>
              </w:rPr>
              <w:t>62.3</w:t>
            </w:r>
          </w:p>
        </w:tc>
        <w:tc>
          <w:tcPr>
            <w:tcW w:w="638" w:type="dxa"/>
            <w:vAlign w:val="bottom"/>
          </w:tcPr>
          <w:p w:rsidR="00C8607D" w:rsidRPr="00664E21" w:rsidRDefault="00C8607D" w:rsidP="00C8607D">
            <w:pPr>
              <w:jc w:val="center"/>
              <w:rPr>
                <w:color w:val="000000"/>
                <w:sz w:val="20"/>
                <w:szCs w:val="20"/>
              </w:rPr>
            </w:pPr>
            <w:r w:rsidRPr="00664E21">
              <w:rPr>
                <w:color w:val="000000"/>
                <w:sz w:val="20"/>
                <w:szCs w:val="20"/>
              </w:rPr>
              <w:t>43.6</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23.2</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18.4</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6.6</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10.1</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22.8</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21.0</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6.5</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34.6</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63.8</w:t>
            </w:r>
          </w:p>
        </w:tc>
        <w:tc>
          <w:tcPr>
            <w:tcW w:w="666" w:type="dxa"/>
            <w:vAlign w:val="bottom"/>
          </w:tcPr>
          <w:p w:rsidR="00C8607D" w:rsidRPr="00664E21" w:rsidRDefault="00C8607D" w:rsidP="00C8607D">
            <w:pPr>
              <w:jc w:val="center"/>
              <w:rPr>
                <w:color w:val="000000"/>
                <w:sz w:val="20"/>
                <w:szCs w:val="20"/>
              </w:rPr>
            </w:pPr>
            <w:r w:rsidRPr="00664E21">
              <w:rPr>
                <w:color w:val="000000"/>
                <w:sz w:val="20"/>
                <w:szCs w:val="20"/>
              </w:rPr>
              <w:t>90.6</w:t>
            </w:r>
          </w:p>
        </w:tc>
        <w:tc>
          <w:tcPr>
            <w:tcW w:w="995" w:type="dxa"/>
            <w:vAlign w:val="bottom"/>
          </w:tcPr>
          <w:p w:rsidR="00C8607D" w:rsidRPr="00664E21" w:rsidRDefault="00C8607D" w:rsidP="00C8607D">
            <w:pPr>
              <w:jc w:val="center"/>
              <w:rPr>
                <w:color w:val="000000"/>
                <w:sz w:val="20"/>
                <w:szCs w:val="20"/>
              </w:rPr>
            </w:pPr>
            <w:r w:rsidRPr="00664E21">
              <w:rPr>
                <w:color w:val="000000"/>
                <w:sz w:val="20"/>
                <w:szCs w:val="20"/>
              </w:rPr>
              <w:t>33.6</w:t>
            </w:r>
          </w:p>
        </w:tc>
      </w:tr>
      <w:tr w:rsidR="00C8607D" w:rsidTr="00BF1DE3">
        <w:trPr>
          <w:trHeight w:val="289"/>
        </w:trPr>
        <w:tc>
          <w:tcPr>
            <w:tcW w:w="892" w:type="dxa"/>
            <w:vAlign w:val="bottom"/>
          </w:tcPr>
          <w:p w:rsidR="00C8607D" w:rsidRPr="00664E21" w:rsidRDefault="00C8607D" w:rsidP="00C8607D">
            <w:pPr>
              <w:jc w:val="center"/>
              <w:rPr>
                <w:color w:val="000000"/>
                <w:sz w:val="20"/>
                <w:szCs w:val="20"/>
              </w:rPr>
            </w:pPr>
            <w:r w:rsidRPr="00664E21">
              <w:rPr>
                <w:color w:val="000000"/>
                <w:sz w:val="20"/>
                <w:szCs w:val="20"/>
              </w:rPr>
              <w:t>2016</w:t>
            </w:r>
          </w:p>
        </w:tc>
        <w:tc>
          <w:tcPr>
            <w:tcW w:w="638" w:type="dxa"/>
            <w:vAlign w:val="bottom"/>
          </w:tcPr>
          <w:p w:rsidR="00C8607D" w:rsidRPr="00664E21" w:rsidRDefault="00C8607D" w:rsidP="00C8607D">
            <w:pPr>
              <w:jc w:val="center"/>
              <w:rPr>
                <w:color w:val="000000"/>
                <w:sz w:val="20"/>
                <w:szCs w:val="20"/>
              </w:rPr>
            </w:pPr>
            <w:r w:rsidRPr="00664E21">
              <w:rPr>
                <w:color w:val="000000"/>
                <w:sz w:val="20"/>
                <w:szCs w:val="20"/>
              </w:rPr>
              <w:t>87.7</w:t>
            </w:r>
          </w:p>
        </w:tc>
        <w:tc>
          <w:tcPr>
            <w:tcW w:w="638" w:type="dxa"/>
            <w:vAlign w:val="bottom"/>
          </w:tcPr>
          <w:p w:rsidR="00C8607D" w:rsidRPr="00664E21" w:rsidRDefault="00C8607D" w:rsidP="00C8607D">
            <w:pPr>
              <w:jc w:val="center"/>
              <w:rPr>
                <w:color w:val="000000"/>
                <w:sz w:val="20"/>
                <w:szCs w:val="20"/>
              </w:rPr>
            </w:pPr>
            <w:r w:rsidRPr="00664E21">
              <w:rPr>
                <w:color w:val="000000"/>
                <w:sz w:val="20"/>
                <w:szCs w:val="20"/>
              </w:rPr>
              <w:t>55.2</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34.7</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27.1</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21.7</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15.9</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16.9</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19.5</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27.2</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40.3</w:t>
            </w:r>
          </w:p>
        </w:tc>
        <w:tc>
          <w:tcPr>
            <w:tcW w:w="639" w:type="dxa"/>
            <w:vAlign w:val="bottom"/>
          </w:tcPr>
          <w:p w:rsidR="00C8607D" w:rsidRPr="00664E21" w:rsidRDefault="00C8607D" w:rsidP="00C8607D">
            <w:pPr>
              <w:jc w:val="center"/>
              <w:rPr>
                <w:color w:val="000000"/>
                <w:sz w:val="20"/>
                <w:szCs w:val="20"/>
              </w:rPr>
            </w:pPr>
            <w:r w:rsidRPr="00664E21">
              <w:rPr>
                <w:color w:val="000000"/>
                <w:sz w:val="20"/>
                <w:szCs w:val="20"/>
              </w:rPr>
              <w:t>71.7</w:t>
            </w:r>
          </w:p>
        </w:tc>
        <w:tc>
          <w:tcPr>
            <w:tcW w:w="666" w:type="dxa"/>
            <w:vAlign w:val="bottom"/>
          </w:tcPr>
          <w:p w:rsidR="00C8607D" w:rsidRPr="00664E21" w:rsidRDefault="00C8607D" w:rsidP="00C8607D">
            <w:pPr>
              <w:jc w:val="center"/>
              <w:rPr>
                <w:color w:val="000000"/>
                <w:sz w:val="20"/>
                <w:szCs w:val="20"/>
              </w:rPr>
            </w:pPr>
          </w:p>
        </w:tc>
        <w:tc>
          <w:tcPr>
            <w:tcW w:w="995" w:type="dxa"/>
            <w:vAlign w:val="bottom"/>
          </w:tcPr>
          <w:p w:rsidR="00C8607D" w:rsidRPr="00664E21" w:rsidRDefault="00C8607D" w:rsidP="00C8607D">
            <w:pPr>
              <w:jc w:val="center"/>
              <w:rPr>
                <w:color w:val="000000"/>
                <w:sz w:val="20"/>
                <w:szCs w:val="20"/>
              </w:rPr>
            </w:pPr>
            <w:r w:rsidRPr="00664E21">
              <w:rPr>
                <w:color w:val="000000"/>
                <w:sz w:val="20"/>
                <w:szCs w:val="20"/>
              </w:rPr>
              <w:t>38.0</w:t>
            </w:r>
          </w:p>
        </w:tc>
      </w:tr>
    </w:tbl>
    <w:p w:rsidR="00BF1DE3" w:rsidRDefault="00BF1DE3"/>
    <w:p w:rsidR="00BF1DE3" w:rsidRPr="00BF1DE3" w:rsidRDefault="00BF1DE3">
      <w:r w:rsidRPr="00BF1DE3">
        <w:rPr>
          <w:noProof/>
        </w:rPr>
        <w:drawing>
          <wp:inline distT="0" distB="0" distL="0" distR="0">
            <wp:extent cx="4803859" cy="2156604"/>
            <wp:effectExtent l="19050" t="0" r="15791"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607D" w:rsidRDefault="00C8607D"/>
    <w:tbl>
      <w:tblPr>
        <w:tblpPr w:leftFromText="180" w:rightFromText="180" w:vertAnchor="page" w:horzAnchor="margin" w:tblpY="1862"/>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
        <w:gridCol w:w="641"/>
        <w:gridCol w:w="641"/>
        <w:gridCol w:w="641"/>
        <w:gridCol w:w="641"/>
        <w:gridCol w:w="641"/>
        <w:gridCol w:w="641"/>
        <w:gridCol w:w="641"/>
        <w:gridCol w:w="641"/>
        <w:gridCol w:w="641"/>
        <w:gridCol w:w="641"/>
        <w:gridCol w:w="641"/>
        <w:gridCol w:w="666"/>
        <w:gridCol w:w="995"/>
      </w:tblGrid>
      <w:tr w:rsidR="00BF1DE3" w:rsidRPr="003F16B0" w:rsidTr="00BF1DE3">
        <w:trPr>
          <w:trHeight w:val="705"/>
        </w:trPr>
        <w:tc>
          <w:tcPr>
            <w:tcW w:w="9604" w:type="dxa"/>
            <w:gridSpan w:val="14"/>
            <w:vAlign w:val="center"/>
          </w:tcPr>
          <w:p w:rsidR="00BF1DE3" w:rsidRPr="003F16B0" w:rsidRDefault="00BF1DE3" w:rsidP="00BF1DE3">
            <w:pPr>
              <w:jc w:val="center"/>
              <w:rPr>
                <w:b/>
              </w:rPr>
            </w:pPr>
            <w:r w:rsidRPr="003F16B0">
              <w:rPr>
                <w:b/>
                <w:sz w:val="22"/>
              </w:rPr>
              <w:t>Севојно-Амбуланта</w:t>
            </w:r>
          </w:p>
          <w:p w:rsidR="00BF1DE3" w:rsidRPr="002F70F5" w:rsidRDefault="00BF1DE3" w:rsidP="00BF1DE3">
            <w:pPr>
              <w:jc w:val="center"/>
              <w:rPr>
                <w:lang w:val="sr-Cyrl-CS"/>
              </w:rPr>
            </w:pPr>
            <w:r w:rsidRPr="003F16B0">
              <w:rPr>
                <w:sz w:val="22"/>
              </w:rPr>
              <w:t>ЧАЂ</w:t>
            </w:r>
            <w:r>
              <w:rPr>
                <w:sz w:val="22"/>
              </w:rPr>
              <w:t xml:space="preserve"> µ</w:t>
            </w:r>
            <w:r w:rsidRPr="003F16B0">
              <w:rPr>
                <w:sz w:val="22"/>
                <w:lang w:val="sr-Latn-BA"/>
              </w:rPr>
              <w:t>g/m</w:t>
            </w:r>
            <w:r w:rsidRPr="003F16B0">
              <w:rPr>
                <w:sz w:val="22"/>
                <w:vertAlign w:val="superscript"/>
                <w:lang w:val="sr-Latn-BA"/>
              </w:rPr>
              <w:t>3</w:t>
            </w:r>
            <w:r w:rsidR="002F70F5">
              <w:rPr>
                <w:sz w:val="22"/>
                <w:lang w:val="sr-Cyrl-CS"/>
              </w:rPr>
              <w:t xml:space="preserve"> </w:t>
            </w:r>
            <w:r w:rsidR="002F70F5">
              <w:rPr>
                <w:lang w:val="sr-Cyrl-CS"/>
              </w:rPr>
              <w:t>(ГВ 50</w:t>
            </w:r>
            <w:r w:rsidR="002F70F5" w:rsidRPr="00664E21">
              <w:rPr>
                <w:rFonts w:ascii="Symbol" w:hAnsi="Symbol"/>
                <w:lang w:val="sr-Latn-BA"/>
              </w:rPr>
              <w:t></w:t>
            </w:r>
            <w:r w:rsidR="002F70F5" w:rsidRPr="003F16B0">
              <w:rPr>
                <w:rFonts w:ascii="Symbol" w:hAnsi="Symbol"/>
                <w:sz w:val="20"/>
                <w:lang w:val="sr-Latn-BA"/>
              </w:rPr>
              <w:t></w:t>
            </w:r>
            <w:r w:rsidR="002F70F5" w:rsidRPr="00664E21">
              <w:rPr>
                <w:lang w:val="sr-Latn-BA"/>
              </w:rPr>
              <w:t>g/m</w:t>
            </w:r>
            <w:r w:rsidR="002F70F5" w:rsidRPr="00664E21">
              <w:rPr>
                <w:vertAlign w:val="superscript"/>
                <w:lang w:val="sr-Latn-BA"/>
              </w:rPr>
              <w:t>3</w:t>
            </w:r>
            <w:r w:rsidR="002F70F5">
              <w:rPr>
                <w:lang w:val="sr-Cyrl-CS"/>
              </w:rPr>
              <w:t xml:space="preserve"> )</w:t>
            </w:r>
          </w:p>
        </w:tc>
      </w:tr>
      <w:tr w:rsidR="00BF1DE3" w:rsidRPr="003F16B0" w:rsidTr="00BF1DE3">
        <w:tblPrEx>
          <w:tblLook w:val="04A0" w:firstRow="1" w:lastRow="0" w:firstColumn="1" w:lastColumn="0" w:noHBand="0" w:noVBand="1"/>
        </w:tblPrEx>
        <w:trPr>
          <w:trHeight w:val="317"/>
        </w:trPr>
        <w:tc>
          <w:tcPr>
            <w:tcW w:w="892" w:type="dxa"/>
            <w:shd w:val="clear" w:color="auto" w:fill="auto"/>
            <w:noWrap/>
            <w:vAlign w:val="bottom"/>
            <w:hideMark/>
          </w:tcPr>
          <w:p w:rsidR="00BF1DE3" w:rsidRDefault="00BF1DE3" w:rsidP="00BF1DE3">
            <w:pPr>
              <w:rPr>
                <w:sz w:val="20"/>
                <w:szCs w:val="20"/>
                <w:lang w:val="sr-Cyrl-CS"/>
              </w:rPr>
            </w:pPr>
            <w:r w:rsidRPr="003F16B0">
              <w:rPr>
                <w:sz w:val="20"/>
                <w:szCs w:val="20"/>
                <w:lang w:val="sr-Cyrl-CS"/>
              </w:rPr>
              <w:t>Година/</w:t>
            </w:r>
          </w:p>
          <w:p w:rsidR="00BF1DE3" w:rsidRPr="003F16B0" w:rsidRDefault="00BF1DE3" w:rsidP="00BF1DE3">
            <w:pPr>
              <w:rPr>
                <w:sz w:val="20"/>
                <w:szCs w:val="20"/>
                <w:lang w:val="sr-Cyrl-CS"/>
              </w:rPr>
            </w:pPr>
            <w:r w:rsidRPr="003F16B0">
              <w:rPr>
                <w:sz w:val="20"/>
                <w:szCs w:val="20"/>
                <w:lang w:val="sr-Cyrl-CS"/>
              </w:rPr>
              <w:t>месец</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I</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II</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III</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IV</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V</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VI</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VII</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VIII</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IX</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X</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XI</w:t>
            </w:r>
          </w:p>
        </w:tc>
        <w:tc>
          <w:tcPr>
            <w:tcW w:w="666" w:type="dxa"/>
            <w:shd w:val="clear" w:color="auto" w:fill="auto"/>
            <w:noWrap/>
            <w:vAlign w:val="bottom"/>
            <w:hideMark/>
          </w:tcPr>
          <w:p w:rsidR="00BF1DE3" w:rsidRPr="003F16B0" w:rsidRDefault="00BF1DE3" w:rsidP="00BF1DE3">
            <w:pPr>
              <w:rPr>
                <w:sz w:val="20"/>
                <w:szCs w:val="20"/>
              </w:rPr>
            </w:pPr>
            <w:r w:rsidRPr="003F16B0">
              <w:rPr>
                <w:sz w:val="20"/>
                <w:szCs w:val="20"/>
              </w:rPr>
              <w:t>XII</w:t>
            </w:r>
          </w:p>
        </w:tc>
        <w:tc>
          <w:tcPr>
            <w:tcW w:w="995" w:type="dxa"/>
            <w:shd w:val="clear" w:color="auto" w:fill="auto"/>
            <w:noWrap/>
            <w:vAlign w:val="bottom"/>
            <w:hideMark/>
          </w:tcPr>
          <w:p w:rsidR="00BF1DE3" w:rsidRPr="003F16B0" w:rsidRDefault="00BF1DE3" w:rsidP="00BF1DE3">
            <w:pPr>
              <w:rPr>
                <w:sz w:val="20"/>
                <w:szCs w:val="20"/>
                <w:lang w:val="sr-Cyrl-CS"/>
              </w:rPr>
            </w:pPr>
            <w:r w:rsidRPr="003F16B0">
              <w:rPr>
                <w:sz w:val="20"/>
                <w:szCs w:val="20"/>
                <w:lang w:val="sr-Cyrl-CS"/>
              </w:rPr>
              <w:t>Средња годишња</w:t>
            </w:r>
          </w:p>
        </w:tc>
      </w:tr>
      <w:tr w:rsidR="00BF1DE3" w:rsidRPr="003F16B0" w:rsidTr="00BF1DE3">
        <w:tblPrEx>
          <w:tblLook w:val="04A0" w:firstRow="1" w:lastRow="0" w:firstColumn="1" w:lastColumn="0" w:noHBand="0" w:noVBand="1"/>
        </w:tblPrEx>
        <w:trPr>
          <w:trHeight w:val="317"/>
        </w:trPr>
        <w:tc>
          <w:tcPr>
            <w:tcW w:w="892" w:type="dxa"/>
            <w:shd w:val="clear" w:color="auto" w:fill="auto"/>
            <w:noWrap/>
            <w:vAlign w:val="bottom"/>
            <w:hideMark/>
          </w:tcPr>
          <w:p w:rsidR="00BF1DE3" w:rsidRPr="003F16B0" w:rsidRDefault="00BF1DE3" w:rsidP="00BF1DE3">
            <w:pPr>
              <w:rPr>
                <w:sz w:val="20"/>
                <w:szCs w:val="20"/>
              </w:rPr>
            </w:pPr>
            <w:r w:rsidRPr="003F16B0">
              <w:rPr>
                <w:sz w:val="20"/>
                <w:szCs w:val="20"/>
              </w:rPr>
              <w:t>2012</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30.7</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33.8</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31.9</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16.2</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12.5</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10.3</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8.0</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10.1</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15.0</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39.1</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66.5</w:t>
            </w:r>
          </w:p>
        </w:tc>
        <w:tc>
          <w:tcPr>
            <w:tcW w:w="666" w:type="dxa"/>
            <w:shd w:val="clear" w:color="auto" w:fill="auto"/>
            <w:noWrap/>
            <w:vAlign w:val="bottom"/>
            <w:hideMark/>
          </w:tcPr>
          <w:p w:rsidR="00BF1DE3" w:rsidRPr="003F16B0" w:rsidRDefault="00BF1DE3" w:rsidP="00BF1DE3">
            <w:pPr>
              <w:rPr>
                <w:sz w:val="20"/>
                <w:szCs w:val="20"/>
              </w:rPr>
            </w:pPr>
            <w:r w:rsidRPr="003F16B0">
              <w:rPr>
                <w:sz w:val="20"/>
                <w:szCs w:val="20"/>
              </w:rPr>
              <w:t>102.0</w:t>
            </w:r>
          </w:p>
        </w:tc>
        <w:tc>
          <w:tcPr>
            <w:tcW w:w="995" w:type="dxa"/>
            <w:shd w:val="clear" w:color="auto" w:fill="auto"/>
            <w:noWrap/>
            <w:vAlign w:val="bottom"/>
            <w:hideMark/>
          </w:tcPr>
          <w:p w:rsidR="00BF1DE3" w:rsidRPr="003F16B0" w:rsidRDefault="00BF1DE3" w:rsidP="00BF1DE3">
            <w:pPr>
              <w:rPr>
                <w:sz w:val="20"/>
                <w:szCs w:val="20"/>
              </w:rPr>
            </w:pPr>
            <w:r w:rsidRPr="003F16B0">
              <w:rPr>
                <w:sz w:val="20"/>
                <w:szCs w:val="20"/>
              </w:rPr>
              <w:t>31.3</w:t>
            </w:r>
          </w:p>
        </w:tc>
      </w:tr>
      <w:tr w:rsidR="00BF1DE3" w:rsidRPr="003F16B0" w:rsidTr="00BF1DE3">
        <w:tblPrEx>
          <w:tblLook w:val="04A0" w:firstRow="1" w:lastRow="0" w:firstColumn="1" w:lastColumn="0" w:noHBand="0" w:noVBand="1"/>
        </w:tblPrEx>
        <w:trPr>
          <w:trHeight w:val="317"/>
        </w:trPr>
        <w:tc>
          <w:tcPr>
            <w:tcW w:w="892" w:type="dxa"/>
            <w:shd w:val="clear" w:color="auto" w:fill="auto"/>
            <w:noWrap/>
            <w:vAlign w:val="bottom"/>
            <w:hideMark/>
          </w:tcPr>
          <w:p w:rsidR="00BF1DE3" w:rsidRPr="003F16B0" w:rsidRDefault="00BF1DE3" w:rsidP="00BF1DE3">
            <w:pPr>
              <w:rPr>
                <w:sz w:val="20"/>
                <w:szCs w:val="20"/>
              </w:rPr>
            </w:pPr>
            <w:r w:rsidRPr="003F16B0">
              <w:rPr>
                <w:sz w:val="20"/>
                <w:szCs w:val="20"/>
              </w:rPr>
              <w:t>2013</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76.2</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40.6</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24.3</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19.7</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10.3</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5.1</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4.0</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4.7</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4.6</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11.6</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18.2</w:t>
            </w:r>
          </w:p>
        </w:tc>
        <w:tc>
          <w:tcPr>
            <w:tcW w:w="666" w:type="dxa"/>
            <w:shd w:val="clear" w:color="auto" w:fill="auto"/>
            <w:noWrap/>
            <w:vAlign w:val="bottom"/>
            <w:hideMark/>
          </w:tcPr>
          <w:p w:rsidR="00BF1DE3" w:rsidRPr="003F16B0" w:rsidRDefault="00BF1DE3" w:rsidP="00BF1DE3">
            <w:pPr>
              <w:rPr>
                <w:sz w:val="20"/>
                <w:szCs w:val="20"/>
              </w:rPr>
            </w:pPr>
            <w:r w:rsidRPr="003F16B0">
              <w:rPr>
                <w:sz w:val="20"/>
                <w:szCs w:val="20"/>
              </w:rPr>
              <w:t>46.4</w:t>
            </w:r>
          </w:p>
        </w:tc>
        <w:tc>
          <w:tcPr>
            <w:tcW w:w="995" w:type="dxa"/>
            <w:shd w:val="clear" w:color="auto" w:fill="auto"/>
            <w:noWrap/>
            <w:vAlign w:val="bottom"/>
            <w:hideMark/>
          </w:tcPr>
          <w:p w:rsidR="00BF1DE3" w:rsidRPr="003F16B0" w:rsidRDefault="00BF1DE3" w:rsidP="00BF1DE3">
            <w:pPr>
              <w:rPr>
                <w:sz w:val="20"/>
                <w:szCs w:val="20"/>
              </w:rPr>
            </w:pPr>
            <w:r w:rsidRPr="003F16B0">
              <w:rPr>
                <w:sz w:val="20"/>
                <w:szCs w:val="20"/>
              </w:rPr>
              <w:t>22.1</w:t>
            </w:r>
          </w:p>
        </w:tc>
      </w:tr>
      <w:tr w:rsidR="00BF1DE3" w:rsidRPr="003F16B0" w:rsidTr="00BF1DE3">
        <w:tblPrEx>
          <w:tblLook w:val="04A0" w:firstRow="1" w:lastRow="0" w:firstColumn="1" w:lastColumn="0" w:noHBand="0" w:noVBand="1"/>
        </w:tblPrEx>
        <w:trPr>
          <w:trHeight w:val="317"/>
        </w:trPr>
        <w:tc>
          <w:tcPr>
            <w:tcW w:w="892" w:type="dxa"/>
            <w:shd w:val="clear" w:color="auto" w:fill="auto"/>
            <w:noWrap/>
            <w:vAlign w:val="bottom"/>
            <w:hideMark/>
          </w:tcPr>
          <w:p w:rsidR="00BF1DE3" w:rsidRPr="003F16B0" w:rsidRDefault="00BF1DE3" w:rsidP="00BF1DE3">
            <w:pPr>
              <w:rPr>
                <w:sz w:val="20"/>
                <w:szCs w:val="20"/>
              </w:rPr>
            </w:pPr>
            <w:r w:rsidRPr="003F16B0">
              <w:rPr>
                <w:sz w:val="20"/>
                <w:szCs w:val="20"/>
              </w:rPr>
              <w:t>2014</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57.0</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48.6</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18.6</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13.5</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6.1</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4.1</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4.0</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4.0</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5.4</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24.8</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43.8</w:t>
            </w:r>
          </w:p>
        </w:tc>
        <w:tc>
          <w:tcPr>
            <w:tcW w:w="666" w:type="dxa"/>
            <w:shd w:val="clear" w:color="auto" w:fill="auto"/>
            <w:noWrap/>
            <w:vAlign w:val="bottom"/>
            <w:hideMark/>
          </w:tcPr>
          <w:p w:rsidR="00BF1DE3" w:rsidRPr="003F16B0" w:rsidRDefault="00BF1DE3" w:rsidP="00BF1DE3">
            <w:pPr>
              <w:rPr>
                <w:sz w:val="20"/>
                <w:szCs w:val="20"/>
              </w:rPr>
            </w:pPr>
            <w:r w:rsidRPr="003F16B0">
              <w:rPr>
                <w:sz w:val="20"/>
                <w:szCs w:val="20"/>
              </w:rPr>
              <w:t>53.2</w:t>
            </w:r>
          </w:p>
        </w:tc>
        <w:tc>
          <w:tcPr>
            <w:tcW w:w="995" w:type="dxa"/>
            <w:shd w:val="clear" w:color="auto" w:fill="auto"/>
            <w:noWrap/>
            <w:vAlign w:val="bottom"/>
            <w:hideMark/>
          </w:tcPr>
          <w:p w:rsidR="00BF1DE3" w:rsidRPr="003F16B0" w:rsidRDefault="00BF1DE3" w:rsidP="00BF1DE3">
            <w:pPr>
              <w:rPr>
                <w:sz w:val="20"/>
                <w:szCs w:val="20"/>
              </w:rPr>
            </w:pPr>
            <w:r w:rsidRPr="003F16B0">
              <w:rPr>
                <w:sz w:val="20"/>
                <w:szCs w:val="20"/>
              </w:rPr>
              <w:t>23.6</w:t>
            </w:r>
          </w:p>
        </w:tc>
      </w:tr>
      <w:tr w:rsidR="00BF1DE3" w:rsidRPr="003F16B0" w:rsidTr="00BF1DE3">
        <w:tblPrEx>
          <w:tblLook w:val="04A0" w:firstRow="1" w:lastRow="0" w:firstColumn="1" w:lastColumn="0" w:noHBand="0" w:noVBand="1"/>
        </w:tblPrEx>
        <w:trPr>
          <w:trHeight w:val="317"/>
        </w:trPr>
        <w:tc>
          <w:tcPr>
            <w:tcW w:w="892" w:type="dxa"/>
            <w:shd w:val="clear" w:color="auto" w:fill="auto"/>
            <w:noWrap/>
            <w:vAlign w:val="bottom"/>
            <w:hideMark/>
          </w:tcPr>
          <w:p w:rsidR="00BF1DE3" w:rsidRPr="003F16B0" w:rsidRDefault="00BF1DE3" w:rsidP="00BF1DE3">
            <w:pPr>
              <w:rPr>
                <w:sz w:val="20"/>
                <w:szCs w:val="20"/>
              </w:rPr>
            </w:pPr>
            <w:r w:rsidRPr="003F16B0">
              <w:rPr>
                <w:sz w:val="20"/>
                <w:szCs w:val="20"/>
              </w:rPr>
              <w:t>2015</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49.8</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34.8</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16.9</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13.1</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8.6</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7.3</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7.4</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6.7</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8.2</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18.1</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24.1</w:t>
            </w:r>
          </w:p>
        </w:tc>
        <w:tc>
          <w:tcPr>
            <w:tcW w:w="666" w:type="dxa"/>
            <w:shd w:val="clear" w:color="auto" w:fill="auto"/>
            <w:noWrap/>
            <w:vAlign w:val="bottom"/>
            <w:hideMark/>
          </w:tcPr>
          <w:p w:rsidR="00BF1DE3" w:rsidRPr="003F16B0" w:rsidRDefault="00BF1DE3" w:rsidP="00BF1DE3">
            <w:pPr>
              <w:rPr>
                <w:sz w:val="20"/>
                <w:szCs w:val="20"/>
              </w:rPr>
            </w:pPr>
            <w:r w:rsidRPr="003F16B0">
              <w:rPr>
                <w:sz w:val="20"/>
                <w:szCs w:val="20"/>
              </w:rPr>
              <w:t>44.1</w:t>
            </w:r>
          </w:p>
        </w:tc>
        <w:tc>
          <w:tcPr>
            <w:tcW w:w="995" w:type="dxa"/>
            <w:shd w:val="clear" w:color="auto" w:fill="auto"/>
            <w:noWrap/>
            <w:vAlign w:val="bottom"/>
            <w:hideMark/>
          </w:tcPr>
          <w:p w:rsidR="00BF1DE3" w:rsidRPr="003F16B0" w:rsidRDefault="00BF1DE3" w:rsidP="00BF1DE3">
            <w:pPr>
              <w:rPr>
                <w:sz w:val="20"/>
                <w:szCs w:val="20"/>
              </w:rPr>
            </w:pPr>
            <w:r w:rsidRPr="003F16B0">
              <w:rPr>
                <w:sz w:val="20"/>
                <w:szCs w:val="20"/>
              </w:rPr>
              <w:t>19.9</w:t>
            </w:r>
          </w:p>
        </w:tc>
      </w:tr>
      <w:tr w:rsidR="00BF1DE3" w:rsidRPr="003F16B0" w:rsidTr="00BF1DE3">
        <w:tblPrEx>
          <w:tblLook w:val="04A0" w:firstRow="1" w:lastRow="0" w:firstColumn="1" w:lastColumn="0" w:noHBand="0" w:noVBand="1"/>
        </w:tblPrEx>
        <w:trPr>
          <w:trHeight w:val="317"/>
        </w:trPr>
        <w:tc>
          <w:tcPr>
            <w:tcW w:w="892" w:type="dxa"/>
            <w:shd w:val="clear" w:color="auto" w:fill="auto"/>
            <w:noWrap/>
            <w:vAlign w:val="bottom"/>
            <w:hideMark/>
          </w:tcPr>
          <w:p w:rsidR="00BF1DE3" w:rsidRPr="003F16B0" w:rsidRDefault="00BF1DE3" w:rsidP="00BF1DE3">
            <w:pPr>
              <w:rPr>
                <w:sz w:val="20"/>
                <w:szCs w:val="20"/>
              </w:rPr>
            </w:pPr>
            <w:r w:rsidRPr="003F16B0">
              <w:rPr>
                <w:sz w:val="20"/>
                <w:szCs w:val="20"/>
              </w:rPr>
              <w:t>2016</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61.1</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34.0</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29.3</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17.2</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13.1</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15.9</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7.8</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9.2</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16.6</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26.3</w:t>
            </w:r>
          </w:p>
        </w:tc>
        <w:tc>
          <w:tcPr>
            <w:tcW w:w="641" w:type="dxa"/>
            <w:shd w:val="clear" w:color="auto" w:fill="auto"/>
            <w:noWrap/>
            <w:vAlign w:val="bottom"/>
            <w:hideMark/>
          </w:tcPr>
          <w:p w:rsidR="00BF1DE3" w:rsidRPr="003F16B0" w:rsidRDefault="00BF1DE3" w:rsidP="00BF1DE3">
            <w:pPr>
              <w:rPr>
                <w:sz w:val="20"/>
                <w:szCs w:val="20"/>
              </w:rPr>
            </w:pPr>
            <w:r w:rsidRPr="003F16B0">
              <w:rPr>
                <w:sz w:val="20"/>
                <w:szCs w:val="20"/>
              </w:rPr>
              <w:t>50.3</w:t>
            </w:r>
          </w:p>
        </w:tc>
        <w:tc>
          <w:tcPr>
            <w:tcW w:w="666" w:type="dxa"/>
            <w:shd w:val="clear" w:color="auto" w:fill="auto"/>
            <w:noWrap/>
            <w:vAlign w:val="bottom"/>
            <w:hideMark/>
          </w:tcPr>
          <w:p w:rsidR="00BF1DE3" w:rsidRPr="003F16B0" w:rsidRDefault="00BF1DE3" w:rsidP="00BF1DE3">
            <w:pPr>
              <w:rPr>
                <w:sz w:val="20"/>
                <w:szCs w:val="20"/>
              </w:rPr>
            </w:pPr>
          </w:p>
        </w:tc>
        <w:tc>
          <w:tcPr>
            <w:tcW w:w="995" w:type="dxa"/>
            <w:shd w:val="clear" w:color="auto" w:fill="auto"/>
            <w:noWrap/>
            <w:vAlign w:val="bottom"/>
            <w:hideMark/>
          </w:tcPr>
          <w:p w:rsidR="00BF1DE3" w:rsidRPr="003F16B0" w:rsidRDefault="00BF1DE3" w:rsidP="00BF1DE3">
            <w:pPr>
              <w:rPr>
                <w:sz w:val="20"/>
                <w:szCs w:val="20"/>
              </w:rPr>
            </w:pPr>
            <w:r w:rsidRPr="003F16B0">
              <w:rPr>
                <w:sz w:val="20"/>
                <w:szCs w:val="20"/>
              </w:rPr>
              <w:t>25.5</w:t>
            </w:r>
          </w:p>
        </w:tc>
      </w:tr>
    </w:tbl>
    <w:p w:rsidR="00BF1DE3" w:rsidRPr="00426941" w:rsidRDefault="00BF1DE3" w:rsidP="00BF1DE3">
      <w:pPr>
        <w:rPr>
          <w:sz w:val="23"/>
          <w:szCs w:val="23"/>
          <w:lang w:val="sr-Cyrl-CS"/>
        </w:rPr>
      </w:pPr>
      <w:r w:rsidRPr="00426941">
        <w:rPr>
          <w:sz w:val="23"/>
          <w:szCs w:val="23"/>
          <w:lang w:val="sr-Cyrl-CS"/>
        </w:rPr>
        <w:t>Табела 3. Концентрациј</w:t>
      </w:r>
      <w:r w:rsidR="00F067E6">
        <w:rPr>
          <w:sz w:val="23"/>
          <w:szCs w:val="23"/>
          <w:lang w:val="sr-Cyrl-CS"/>
        </w:rPr>
        <w:t xml:space="preserve">а чађи на мерном месту Севојно </w:t>
      </w:r>
      <w:r w:rsidRPr="00426941">
        <w:rPr>
          <w:sz w:val="23"/>
          <w:szCs w:val="23"/>
          <w:lang w:val="sr-Cyrl-CS"/>
        </w:rPr>
        <w:t xml:space="preserve"> </w:t>
      </w:r>
      <w:r w:rsidR="00F067E6">
        <w:rPr>
          <w:sz w:val="23"/>
          <w:szCs w:val="23"/>
          <w:lang w:val="sr-Cyrl-CS"/>
        </w:rPr>
        <w:t>„А</w:t>
      </w:r>
      <w:r w:rsidRPr="00426941">
        <w:rPr>
          <w:sz w:val="23"/>
          <w:szCs w:val="23"/>
          <w:lang w:val="sr-Cyrl-CS"/>
        </w:rPr>
        <w:t>мбуланта</w:t>
      </w:r>
      <w:r w:rsidR="00F067E6">
        <w:rPr>
          <w:sz w:val="23"/>
          <w:szCs w:val="23"/>
          <w:lang w:val="sr-Cyrl-CS"/>
        </w:rPr>
        <w:t>“</w:t>
      </w:r>
    </w:p>
    <w:p w:rsidR="003F16B0" w:rsidRDefault="003F16B0"/>
    <w:p w:rsidR="00BF1DE3" w:rsidRDefault="00BF1DE3"/>
    <w:p w:rsidR="00C8607D" w:rsidRDefault="00062B71" w:rsidP="00062B71">
      <w:pPr>
        <w:ind w:right="-279"/>
      </w:pPr>
      <w:r>
        <w:t xml:space="preserve">   </w:t>
      </w:r>
      <w:r w:rsidRPr="00062B71">
        <w:rPr>
          <w:noProof/>
        </w:rPr>
        <w:drawing>
          <wp:inline distT="0" distB="0" distL="0" distR="0">
            <wp:extent cx="4802400" cy="2298808"/>
            <wp:effectExtent l="19050" t="0" r="17250" b="6242"/>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2B71" w:rsidRDefault="00062B71"/>
    <w:p w:rsidR="00062B71" w:rsidRDefault="00062B71"/>
    <w:p w:rsidR="00062B71" w:rsidRDefault="00062B71"/>
    <w:p w:rsidR="00062B71" w:rsidRDefault="00062B71"/>
    <w:p w:rsidR="00062B71" w:rsidRDefault="00062B71"/>
    <w:p w:rsidR="00062B71" w:rsidRDefault="00062B71"/>
    <w:p w:rsidR="00062B71" w:rsidRPr="00426941" w:rsidRDefault="00426941">
      <w:pPr>
        <w:rPr>
          <w:sz w:val="23"/>
          <w:szCs w:val="23"/>
          <w:lang w:val="sr-Cyrl-CS"/>
        </w:rPr>
      </w:pPr>
      <w:r w:rsidRPr="00426941">
        <w:rPr>
          <w:sz w:val="23"/>
          <w:szCs w:val="23"/>
          <w:lang w:val="sr-Cyrl-CS"/>
        </w:rPr>
        <w:t xml:space="preserve">Табела 4. Број дана  са прекораченим ГВ концентрација чађи на мерном месту </w:t>
      </w:r>
      <w:r w:rsidR="00F067E6">
        <w:rPr>
          <w:sz w:val="23"/>
          <w:szCs w:val="23"/>
          <w:lang w:val="sr-Cyrl-CS"/>
        </w:rPr>
        <w:t>„</w:t>
      </w:r>
      <w:r w:rsidRPr="00426941">
        <w:rPr>
          <w:sz w:val="23"/>
          <w:szCs w:val="23"/>
          <w:lang w:val="sr-Cyrl-CS"/>
        </w:rPr>
        <w:t>Зелени пијац</w:t>
      </w:r>
      <w:r w:rsidR="00F067E6">
        <w:rPr>
          <w:sz w:val="23"/>
          <w:szCs w:val="23"/>
          <w:lang w:val="sr-Cyrl-CS"/>
        </w:rPr>
        <w:t>“</w:t>
      </w:r>
    </w:p>
    <w:tbl>
      <w:tblPr>
        <w:tblStyle w:val="TableGrid"/>
        <w:tblW w:w="0" w:type="auto"/>
        <w:tblLook w:val="0000" w:firstRow="0" w:lastRow="0" w:firstColumn="0" w:lastColumn="0" w:noHBand="0" w:noVBand="0"/>
      </w:tblPr>
      <w:tblGrid>
        <w:gridCol w:w="868"/>
        <w:gridCol w:w="641"/>
        <w:gridCol w:w="641"/>
        <w:gridCol w:w="641"/>
        <w:gridCol w:w="641"/>
        <w:gridCol w:w="641"/>
        <w:gridCol w:w="641"/>
        <w:gridCol w:w="641"/>
        <w:gridCol w:w="641"/>
        <w:gridCol w:w="641"/>
        <w:gridCol w:w="641"/>
        <w:gridCol w:w="641"/>
        <w:gridCol w:w="641"/>
        <w:gridCol w:w="821"/>
      </w:tblGrid>
      <w:tr w:rsidR="006E1B2B" w:rsidTr="007D6BFD">
        <w:trPr>
          <w:trHeight w:val="553"/>
        </w:trPr>
        <w:tc>
          <w:tcPr>
            <w:tcW w:w="9381" w:type="dxa"/>
            <w:gridSpan w:val="14"/>
            <w:vAlign w:val="center"/>
          </w:tcPr>
          <w:p w:rsidR="006E1B2B" w:rsidRPr="003F16B0" w:rsidRDefault="00F82DFE" w:rsidP="00F82DFE">
            <w:pPr>
              <w:jc w:val="center"/>
              <w:rPr>
                <w:b/>
                <w:szCs w:val="20"/>
              </w:rPr>
            </w:pPr>
            <w:r w:rsidRPr="003F16B0">
              <w:rPr>
                <w:b/>
                <w:szCs w:val="20"/>
              </w:rPr>
              <w:t>Ужице - Зелени п</w:t>
            </w:r>
            <w:r w:rsidR="003D00D5" w:rsidRPr="003F16B0">
              <w:rPr>
                <w:b/>
                <w:szCs w:val="20"/>
              </w:rPr>
              <w:t>ијац</w:t>
            </w:r>
          </w:p>
          <w:p w:rsidR="006E1B2B" w:rsidRPr="002F70F5" w:rsidRDefault="003D00D5" w:rsidP="002F70F5">
            <w:pPr>
              <w:jc w:val="center"/>
              <w:rPr>
                <w:sz w:val="20"/>
                <w:szCs w:val="20"/>
                <w:lang w:val="sr-Cyrl-CS"/>
              </w:rPr>
            </w:pPr>
            <w:r w:rsidRPr="00F82DFE">
              <w:rPr>
                <w:szCs w:val="20"/>
              </w:rPr>
              <w:t>број дана</w:t>
            </w:r>
            <w:r w:rsidR="00172BD4" w:rsidRPr="00F82DFE">
              <w:rPr>
                <w:szCs w:val="20"/>
                <w:lang w:val="sr-Latn-BA"/>
              </w:rPr>
              <w:t xml:space="preserve"> &gt; </w:t>
            </w:r>
            <w:r w:rsidR="00172BD4" w:rsidRPr="00F82DFE">
              <w:rPr>
                <w:szCs w:val="20"/>
              </w:rPr>
              <w:t>ГВ</w:t>
            </w:r>
            <w:r w:rsidR="002F70F5">
              <w:rPr>
                <w:szCs w:val="20"/>
                <w:lang w:val="sr-Cyrl-CS"/>
              </w:rPr>
              <w:t xml:space="preserve"> </w:t>
            </w:r>
            <w:r w:rsidR="002F70F5">
              <w:rPr>
                <w:lang w:val="sr-Cyrl-CS"/>
              </w:rPr>
              <w:t>(50</w:t>
            </w:r>
            <w:r w:rsidR="002F70F5" w:rsidRPr="00664E21">
              <w:rPr>
                <w:rFonts w:ascii="Symbol" w:hAnsi="Symbol"/>
                <w:lang w:val="sr-Latn-BA"/>
              </w:rPr>
              <w:t></w:t>
            </w:r>
            <w:r w:rsidR="002F70F5" w:rsidRPr="003F16B0">
              <w:rPr>
                <w:rFonts w:ascii="Symbol" w:hAnsi="Symbol"/>
                <w:sz w:val="20"/>
                <w:lang w:val="sr-Latn-BA"/>
              </w:rPr>
              <w:t></w:t>
            </w:r>
            <w:r w:rsidR="002F70F5" w:rsidRPr="00664E21">
              <w:rPr>
                <w:lang w:val="sr-Latn-BA"/>
              </w:rPr>
              <w:t>g/m</w:t>
            </w:r>
            <w:r w:rsidR="002F70F5" w:rsidRPr="00664E21">
              <w:rPr>
                <w:vertAlign w:val="superscript"/>
                <w:lang w:val="sr-Latn-BA"/>
              </w:rPr>
              <w:t>3</w:t>
            </w:r>
            <w:r w:rsidR="002F70F5">
              <w:rPr>
                <w:lang w:val="sr-Cyrl-CS"/>
              </w:rPr>
              <w:t xml:space="preserve"> )</w:t>
            </w:r>
          </w:p>
        </w:tc>
      </w:tr>
      <w:tr w:rsidR="006E1B2B" w:rsidRPr="00F82DFE" w:rsidTr="007D6BFD">
        <w:tblPrEx>
          <w:tblLook w:val="04A0" w:firstRow="1" w:lastRow="0" w:firstColumn="1" w:lastColumn="0" w:noHBand="0" w:noVBand="1"/>
        </w:tblPrEx>
        <w:trPr>
          <w:trHeight w:val="317"/>
        </w:trPr>
        <w:tc>
          <w:tcPr>
            <w:tcW w:w="868" w:type="dxa"/>
            <w:vAlign w:val="bottom"/>
          </w:tcPr>
          <w:p w:rsidR="006E1B2B" w:rsidRPr="00F82DFE" w:rsidRDefault="00172BD4" w:rsidP="006E1B2B">
            <w:pPr>
              <w:jc w:val="right"/>
              <w:rPr>
                <w:color w:val="000000"/>
                <w:sz w:val="20"/>
                <w:szCs w:val="20"/>
              </w:rPr>
            </w:pPr>
            <w:r w:rsidRPr="00F82DFE">
              <w:rPr>
                <w:color w:val="000000"/>
                <w:sz w:val="20"/>
                <w:szCs w:val="20"/>
              </w:rPr>
              <w:t>година</w:t>
            </w:r>
            <w:r w:rsidR="006E1B2B" w:rsidRPr="00F82DFE">
              <w:rPr>
                <w:color w:val="000000"/>
                <w:sz w:val="20"/>
                <w:szCs w:val="20"/>
              </w:rPr>
              <w:t xml:space="preserve"> /</w:t>
            </w:r>
            <w:r w:rsidRPr="00F82DFE">
              <w:rPr>
                <w:color w:val="000000"/>
                <w:sz w:val="20"/>
                <w:szCs w:val="20"/>
              </w:rPr>
              <w:t>месец</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I</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II</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III</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IV</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V</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VI</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VII</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VIII</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IX</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X</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XI</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XII</w:t>
            </w:r>
          </w:p>
        </w:tc>
        <w:tc>
          <w:tcPr>
            <w:tcW w:w="821" w:type="dxa"/>
            <w:vAlign w:val="bottom"/>
          </w:tcPr>
          <w:p w:rsidR="006E1B2B" w:rsidRPr="00F82DFE" w:rsidRDefault="00172BD4" w:rsidP="003F16B0">
            <w:pPr>
              <w:jc w:val="center"/>
              <w:rPr>
                <w:color w:val="000000"/>
                <w:sz w:val="20"/>
                <w:szCs w:val="20"/>
              </w:rPr>
            </w:pPr>
            <w:r w:rsidRPr="00F82DFE">
              <w:rPr>
                <w:color w:val="000000"/>
                <w:sz w:val="20"/>
                <w:szCs w:val="20"/>
              </w:rPr>
              <w:t>број дана у години</w:t>
            </w:r>
            <w:r w:rsidR="006E1B2B" w:rsidRPr="00F82DFE">
              <w:rPr>
                <w:color w:val="000000"/>
                <w:sz w:val="20"/>
                <w:szCs w:val="20"/>
              </w:rPr>
              <w:t xml:space="preserve"> &gt; GV</w:t>
            </w:r>
          </w:p>
        </w:tc>
      </w:tr>
      <w:tr w:rsidR="006E1B2B" w:rsidRPr="00F82DFE" w:rsidTr="007D6BFD">
        <w:tblPrEx>
          <w:tblLook w:val="04A0" w:firstRow="1" w:lastRow="0" w:firstColumn="1" w:lastColumn="0" w:noHBand="0" w:noVBand="1"/>
        </w:tblPrEx>
        <w:trPr>
          <w:trHeight w:val="317"/>
        </w:trPr>
        <w:tc>
          <w:tcPr>
            <w:tcW w:w="868" w:type="dxa"/>
            <w:vAlign w:val="bottom"/>
          </w:tcPr>
          <w:p w:rsidR="006E1B2B" w:rsidRPr="00F82DFE" w:rsidRDefault="006E1B2B" w:rsidP="007D6BFD">
            <w:pPr>
              <w:jc w:val="center"/>
              <w:rPr>
                <w:color w:val="000000"/>
                <w:sz w:val="20"/>
                <w:szCs w:val="20"/>
              </w:rPr>
            </w:pPr>
            <w:r w:rsidRPr="00F82DFE">
              <w:rPr>
                <w:color w:val="000000"/>
                <w:sz w:val="20"/>
                <w:szCs w:val="20"/>
              </w:rPr>
              <w:t>2012</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18</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21</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13</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6</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5</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15</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26</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22</w:t>
            </w:r>
          </w:p>
        </w:tc>
        <w:tc>
          <w:tcPr>
            <w:tcW w:w="821" w:type="dxa"/>
            <w:vAlign w:val="bottom"/>
          </w:tcPr>
          <w:p w:rsidR="006E1B2B" w:rsidRPr="00F82DFE" w:rsidRDefault="006E1B2B" w:rsidP="006E1B2B">
            <w:pPr>
              <w:jc w:val="right"/>
              <w:rPr>
                <w:color w:val="000000"/>
                <w:sz w:val="20"/>
                <w:szCs w:val="20"/>
              </w:rPr>
            </w:pPr>
            <w:r w:rsidRPr="00F82DFE">
              <w:rPr>
                <w:color w:val="000000"/>
                <w:sz w:val="20"/>
                <w:szCs w:val="20"/>
              </w:rPr>
              <w:t>127</w:t>
            </w:r>
          </w:p>
        </w:tc>
      </w:tr>
      <w:tr w:rsidR="006E1B2B" w:rsidRPr="00F82DFE" w:rsidTr="007D6BFD">
        <w:tblPrEx>
          <w:tblLook w:val="04A0" w:firstRow="1" w:lastRow="0" w:firstColumn="1" w:lastColumn="0" w:noHBand="0" w:noVBand="1"/>
        </w:tblPrEx>
        <w:trPr>
          <w:trHeight w:val="317"/>
        </w:trPr>
        <w:tc>
          <w:tcPr>
            <w:tcW w:w="868" w:type="dxa"/>
            <w:vAlign w:val="bottom"/>
          </w:tcPr>
          <w:p w:rsidR="006E1B2B" w:rsidRPr="00F82DFE" w:rsidRDefault="006E1B2B" w:rsidP="007D6BFD">
            <w:pPr>
              <w:jc w:val="center"/>
              <w:rPr>
                <w:color w:val="000000"/>
                <w:sz w:val="20"/>
                <w:szCs w:val="20"/>
              </w:rPr>
            </w:pPr>
            <w:r w:rsidRPr="00F82DFE">
              <w:rPr>
                <w:color w:val="000000"/>
                <w:sz w:val="20"/>
                <w:szCs w:val="20"/>
              </w:rPr>
              <w:t>2013</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25</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15</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16</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3</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5</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12</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24</w:t>
            </w:r>
          </w:p>
        </w:tc>
        <w:tc>
          <w:tcPr>
            <w:tcW w:w="821" w:type="dxa"/>
            <w:vAlign w:val="bottom"/>
          </w:tcPr>
          <w:p w:rsidR="006E1B2B" w:rsidRPr="00F82DFE" w:rsidRDefault="006E1B2B" w:rsidP="006E1B2B">
            <w:pPr>
              <w:jc w:val="right"/>
              <w:rPr>
                <w:color w:val="000000"/>
                <w:sz w:val="20"/>
                <w:szCs w:val="20"/>
              </w:rPr>
            </w:pPr>
            <w:r w:rsidRPr="00F82DFE">
              <w:rPr>
                <w:color w:val="000000"/>
                <w:sz w:val="20"/>
                <w:szCs w:val="20"/>
              </w:rPr>
              <w:t>101</w:t>
            </w:r>
          </w:p>
        </w:tc>
      </w:tr>
      <w:tr w:rsidR="006E1B2B" w:rsidRPr="00F82DFE" w:rsidTr="007D6BFD">
        <w:tblPrEx>
          <w:tblLook w:val="04A0" w:firstRow="1" w:lastRow="0" w:firstColumn="1" w:lastColumn="0" w:noHBand="0" w:noVBand="1"/>
        </w:tblPrEx>
        <w:trPr>
          <w:trHeight w:val="317"/>
        </w:trPr>
        <w:tc>
          <w:tcPr>
            <w:tcW w:w="868" w:type="dxa"/>
            <w:vAlign w:val="bottom"/>
          </w:tcPr>
          <w:p w:rsidR="006E1B2B" w:rsidRPr="00F82DFE" w:rsidRDefault="006E1B2B" w:rsidP="007D6BFD">
            <w:pPr>
              <w:jc w:val="center"/>
              <w:rPr>
                <w:color w:val="000000"/>
                <w:sz w:val="20"/>
                <w:szCs w:val="20"/>
              </w:rPr>
            </w:pPr>
            <w:r w:rsidRPr="00F82DFE">
              <w:rPr>
                <w:color w:val="000000"/>
                <w:sz w:val="20"/>
                <w:szCs w:val="20"/>
              </w:rPr>
              <w:t>2014</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19</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14</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15</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14</w:t>
            </w:r>
          </w:p>
        </w:tc>
        <w:tc>
          <w:tcPr>
            <w:tcW w:w="821" w:type="dxa"/>
            <w:vAlign w:val="bottom"/>
          </w:tcPr>
          <w:p w:rsidR="006E1B2B" w:rsidRPr="00F82DFE" w:rsidRDefault="006E1B2B" w:rsidP="006E1B2B">
            <w:pPr>
              <w:jc w:val="right"/>
              <w:rPr>
                <w:color w:val="000000"/>
                <w:sz w:val="20"/>
                <w:szCs w:val="20"/>
              </w:rPr>
            </w:pPr>
            <w:r w:rsidRPr="00F82DFE">
              <w:rPr>
                <w:color w:val="000000"/>
                <w:sz w:val="20"/>
                <w:szCs w:val="20"/>
              </w:rPr>
              <w:t>64</w:t>
            </w:r>
          </w:p>
        </w:tc>
      </w:tr>
      <w:tr w:rsidR="006E1B2B" w:rsidRPr="00F82DFE" w:rsidTr="007D6BFD">
        <w:tblPrEx>
          <w:tblLook w:val="04A0" w:firstRow="1" w:lastRow="0" w:firstColumn="1" w:lastColumn="0" w:noHBand="0" w:noVBand="1"/>
        </w:tblPrEx>
        <w:trPr>
          <w:trHeight w:val="317"/>
        </w:trPr>
        <w:tc>
          <w:tcPr>
            <w:tcW w:w="868" w:type="dxa"/>
            <w:vAlign w:val="bottom"/>
          </w:tcPr>
          <w:p w:rsidR="006E1B2B" w:rsidRPr="00F82DFE" w:rsidRDefault="006E1B2B" w:rsidP="007D6BFD">
            <w:pPr>
              <w:jc w:val="center"/>
              <w:rPr>
                <w:color w:val="000000"/>
                <w:sz w:val="20"/>
                <w:szCs w:val="20"/>
              </w:rPr>
            </w:pPr>
            <w:r w:rsidRPr="00F82DFE">
              <w:rPr>
                <w:color w:val="000000"/>
                <w:sz w:val="20"/>
                <w:szCs w:val="20"/>
              </w:rPr>
              <w:t>2015</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19</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7</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7</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20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25</w:t>
            </w:r>
          </w:p>
        </w:tc>
        <w:tc>
          <w:tcPr>
            <w:tcW w:w="821" w:type="dxa"/>
            <w:vAlign w:val="bottom"/>
          </w:tcPr>
          <w:p w:rsidR="006E1B2B" w:rsidRPr="00F82DFE" w:rsidRDefault="006E1B2B" w:rsidP="006E1B2B">
            <w:pPr>
              <w:jc w:val="right"/>
              <w:rPr>
                <w:color w:val="000000"/>
                <w:sz w:val="20"/>
                <w:szCs w:val="20"/>
              </w:rPr>
            </w:pPr>
            <w:r w:rsidRPr="00F82DFE">
              <w:rPr>
                <w:color w:val="000000"/>
                <w:sz w:val="20"/>
                <w:szCs w:val="20"/>
              </w:rPr>
              <w:t>79</w:t>
            </w:r>
          </w:p>
        </w:tc>
      </w:tr>
      <w:tr w:rsidR="006E1B2B" w:rsidRPr="00F82DFE" w:rsidTr="007D6BFD">
        <w:tblPrEx>
          <w:tblLook w:val="04A0" w:firstRow="1" w:lastRow="0" w:firstColumn="1" w:lastColumn="0" w:noHBand="0" w:noVBand="1"/>
        </w:tblPrEx>
        <w:trPr>
          <w:trHeight w:val="317"/>
        </w:trPr>
        <w:tc>
          <w:tcPr>
            <w:tcW w:w="868" w:type="dxa"/>
            <w:vAlign w:val="bottom"/>
          </w:tcPr>
          <w:p w:rsidR="006E1B2B" w:rsidRPr="00F82DFE" w:rsidRDefault="006E1B2B" w:rsidP="007D6BFD">
            <w:pPr>
              <w:jc w:val="center"/>
              <w:rPr>
                <w:color w:val="000000"/>
                <w:sz w:val="20"/>
                <w:szCs w:val="20"/>
              </w:rPr>
            </w:pPr>
            <w:r w:rsidRPr="00F82DFE">
              <w:rPr>
                <w:color w:val="000000"/>
                <w:sz w:val="20"/>
                <w:szCs w:val="20"/>
              </w:rPr>
              <w:t>2016</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21</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15</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3</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0</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5</w:t>
            </w:r>
          </w:p>
        </w:tc>
        <w:tc>
          <w:tcPr>
            <w:tcW w:w="641" w:type="dxa"/>
            <w:vAlign w:val="bottom"/>
          </w:tcPr>
          <w:p w:rsidR="006E1B2B" w:rsidRPr="00F82DFE" w:rsidRDefault="006E1B2B" w:rsidP="006E1B2B">
            <w:pPr>
              <w:jc w:val="right"/>
              <w:rPr>
                <w:color w:val="000000"/>
                <w:sz w:val="20"/>
                <w:szCs w:val="20"/>
              </w:rPr>
            </w:pPr>
            <w:r w:rsidRPr="00F82DFE">
              <w:rPr>
                <w:color w:val="000000"/>
                <w:sz w:val="20"/>
                <w:szCs w:val="20"/>
              </w:rPr>
              <w:t>16</w:t>
            </w:r>
          </w:p>
        </w:tc>
        <w:tc>
          <w:tcPr>
            <w:tcW w:w="641" w:type="dxa"/>
            <w:vAlign w:val="bottom"/>
          </w:tcPr>
          <w:p w:rsidR="006E1B2B" w:rsidRPr="00F82DFE" w:rsidRDefault="006E1B2B" w:rsidP="006E1B2B">
            <w:pPr>
              <w:rPr>
                <w:color w:val="000000"/>
                <w:sz w:val="20"/>
                <w:szCs w:val="20"/>
              </w:rPr>
            </w:pPr>
          </w:p>
        </w:tc>
        <w:tc>
          <w:tcPr>
            <w:tcW w:w="821" w:type="dxa"/>
            <w:vAlign w:val="bottom"/>
          </w:tcPr>
          <w:p w:rsidR="006E1B2B" w:rsidRPr="00F82DFE" w:rsidRDefault="006E1B2B" w:rsidP="006E1B2B">
            <w:pPr>
              <w:jc w:val="right"/>
              <w:rPr>
                <w:color w:val="000000"/>
                <w:sz w:val="20"/>
                <w:szCs w:val="20"/>
              </w:rPr>
            </w:pPr>
            <w:r w:rsidRPr="00F82DFE">
              <w:rPr>
                <w:color w:val="000000"/>
                <w:sz w:val="20"/>
                <w:szCs w:val="20"/>
              </w:rPr>
              <w:t>61</w:t>
            </w:r>
          </w:p>
        </w:tc>
      </w:tr>
    </w:tbl>
    <w:p w:rsidR="006E1B2B" w:rsidRDefault="006E1B2B" w:rsidP="003607A0">
      <w:pPr>
        <w:rPr>
          <w:sz w:val="20"/>
          <w:szCs w:val="20"/>
        </w:rPr>
      </w:pPr>
    </w:p>
    <w:p w:rsidR="00426941" w:rsidRDefault="00426941" w:rsidP="003607A0">
      <w:pPr>
        <w:rPr>
          <w:sz w:val="20"/>
          <w:szCs w:val="20"/>
        </w:rPr>
      </w:pPr>
    </w:p>
    <w:p w:rsidR="00426941" w:rsidRPr="00426941" w:rsidRDefault="00426941" w:rsidP="003607A0">
      <w:pPr>
        <w:rPr>
          <w:sz w:val="23"/>
          <w:szCs w:val="23"/>
          <w:lang w:val="sr-Cyrl-CS"/>
        </w:rPr>
      </w:pPr>
      <w:r w:rsidRPr="00426941">
        <w:rPr>
          <w:sz w:val="23"/>
          <w:szCs w:val="23"/>
          <w:lang w:val="sr-Cyrl-CS"/>
        </w:rPr>
        <w:t xml:space="preserve">Табела 5. Број дана  са прекораченим ГВ концентрација чађи на мерном месту Севојно </w:t>
      </w:r>
      <w:r w:rsidR="00F067E6">
        <w:rPr>
          <w:sz w:val="23"/>
          <w:szCs w:val="23"/>
          <w:lang w:val="sr-Cyrl-CS"/>
        </w:rPr>
        <w:t>„А</w:t>
      </w:r>
      <w:r w:rsidRPr="00426941">
        <w:rPr>
          <w:sz w:val="23"/>
          <w:szCs w:val="23"/>
          <w:lang w:val="sr-Cyrl-CS"/>
        </w:rPr>
        <w:t>мбуланта</w:t>
      </w:r>
      <w:r w:rsidR="00F067E6">
        <w:rPr>
          <w:sz w:val="23"/>
          <w:szCs w:val="23"/>
          <w:lang w:val="sr-Cyrl-CS"/>
        </w:rPr>
        <w:t>“</w:t>
      </w:r>
    </w:p>
    <w:p w:rsidR="006E1B2B" w:rsidRPr="006E1B2B" w:rsidRDefault="006E1B2B" w:rsidP="006E1B2B"/>
    <w:tbl>
      <w:tblPr>
        <w:tblStyle w:val="TableGrid"/>
        <w:tblpPr w:leftFromText="180" w:rightFromText="180" w:vertAnchor="text" w:horzAnchor="margin" w:tblpY="-69"/>
        <w:tblW w:w="9464" w:type="dxa"/>
        <w:tblLayout w:type="fixed"/>
        <w:tblLook w:val="0000" w:firstRow="0" w:lastRow="0" w:firstColumn="0" w:lastColumn="0" w:noHBand="0" w:noVBand="0"/>
      </w:tblPr>
      <w:tblGrid>
        <w:gridCol w:w="892"/>
        <w:gridCol w:w="641"/>
        <w:gridCol w:w="641"/>
        <w:gridCol w:w="641"/>
        <w:gridCol w:w="641"/>
        <w:gridCol w:w="641"/>
        <w:gridCol w:w="641"/>
        <w:gridCol w:w="641"/>
        <w:gridCol w:w="641"/>
        <w:gridCol w:w="641"/>
        <w:gridCol w:w="641"/>
        <w:gridCol w:w="641"/>
        <w:gridCol w:w="641"/>
        <w:gridCol w:w="880"/>
      </w:tblGrid>
      <w:tr w:rsidR="003F16B0" w:rsidRPr="005E2B7A" w:rsidTr="007D6BFD">
        <w:trPr>
          <w:trHeight w:val="563"/>
        </w:trPr>
        <w:tc>
          <w:tcPr>
            <w:tcW w:w="9464" w:type="dxa"/>
            <w:gridSpan w:val="14"/>
            <w:vAlign w:val="center"/>
          </w:tcPr>
          <w:p w:rsidR="003F16B0" w:rsidRPr="003F16B0" w:rsidRDefault="003F16B0" w:rsidP="007D6BFD">
            <w:pPr>
              <w:jc w:val="center"/>
              <w:rPr>
                <w:b/>
                <w:sz w:val="20"/>
                <w:szCs w:val="20"/>
              </w:rPr>
            </w:pPr>
            <w:r w:rsidRPr="003F16B0">
              <w:rPr>
                <w:b/>
                <w:sz w:val="20"/>
                <w:szCs w:val="20"/>
              </w:rPr>
              <w:t>Севојно-Амбуланта</w:t>
            </w:r>
          </w:p>
          <w:p w:rsidR="003F16B0" w:rsidRPr="002F70F5" w:rsidRDefault="003F16B0" w:rsidP="007D6BFD">
            <w:pPr>
              <w:jc w:val="center"/>
              <w:rPr>
                <w:sz w:val="20"/>
                <w:szCs w:val="20"/>
                <w:lang w:val="sr-Cyrl-CS"/>
              </w:rPr>
            </w:pPr>
            <w:r w:rsidRPr="005E2B7A">
              <w:rPr>
                <w:sz w:val="20"/>
                <w:szCs w:val="20"/>
              </w:rPr>
              <w:t>број дана</w:t>
            </w:r>
            <w:r w:rsidRPr="005E2B7A">
              <w:rPr>
                <w:sz w:val="20"/>
                <w:szCs w:val="20"/>
                <w:lang w:val="sr-Latn-BA"/>
              </w:rPr>
              <w:t xml:space="preserve"> &gt; </w:t>
            </w:r>
            <w:r w:rsidRPr="005E2B7A">
              <w:rPr>
                <w:sz w:val="20"/>
                <w:szCs w:val="20"/>
              </w:rPr>
              <w:t>ГВ</w:t>
            </w:r>
            <w:r w:rsidR="002F70F5">
              <w:rPr>
                <w:sz w:val="20"/>
                <w:szCs w:val="20"/>
                <w:lang w:val="sr-Cyrl-CS"/>
              </w:rPr>
              <w:t xml:space="preserve"> </w:t>
            </w:r>
            <w:r w:rsidR="002F70F5">
              <w:rPr>
                <w:lang w:val="sr-Cyrl-CS"/>
              </w:rPr>
              <w:t>(50</w:t>
            </w:r>
            <w:r w:rsidR="002F70F5" w:rsidRPr="00664E21">
              <w:rPr>
                <w:rFonts w:ascii="Symbol" w:hAnsi="Symbol"/>
                <w:lang w:val="sr-Latn-BA"/>
              </w:rPr>
              <w:t></w:t>
            </w:r>
            <w:r w:rsidR="002F70F5" w:rsidRPr="003F16B0">
              <w:rPr>
                <w:rFonts w:ascii="Symbol" w:hAnsi="Symbol"/>
                <w:sz w:val="20"/>
                <w:lang w:val="sr-Latn-BA"/>
              </w:rPr>
              <w:t></w:t>
            </w:r>
            <w:r w:rsidR="002F70F5" w:rsidRPr="00664E21">
              <w:rPr>
                <w:lang w:val="sr-Latn-BA"/>
              </w:rPr>
              <w:t>g/m</w:t>
            </w:r>
            <w:r w:rsidR="002F70F5" w:rsidRPr="00664E21">
              <w:rPr>
                <w:vertAlign w:val="superscript"/>
                <w:lang w:val="sr-Latn-BA"/>
              </w:rPr>
              <w:t>3</w:t>
            </w:r>
            <w:r w:rsidR="002F70F5">
              <w:rPr>
                <w:lang w:val="sr-Cyrl-CS"/>
              </w:rPr>
              <w:t xml:space="preserve"> )</w:t>
            </w:r>
          </w:p>
        </w:tc>
      </w:tr>
      <w:tr w:rsidR="003F16B0" w:rsidRPr="005E2B7A" w:rsidTr="007D6BFD">
        <w:tblPrEx>
          <w:tblLook w:val="04A0" w:firstRow="1" w:lastRow="0" w:firstColumn="1" w:lastColumn="0" w:noHBand="0" w:noVBand="1"/>
        </w:tblPrEx>
        <w:trPr>
          <w:trHeight w:val="289"/>
        </w:trPr>
        <w:tc>
          <w:tcPr>
            <w:tcW w:w="892" w:type="dxa"/>
            <w:vAlign w:val="bottom"/>
          </w:tcPr>
          <w:p w:rsidR="003F16B0" w:rsidRDefault="007D6BFD" w:rsidP="007D6BFD">
            <w:pPr>
              <w:jc w:val="center"/>
              <w:rPr>
                <w:color w:val="000000"/>
                <w:sz w:val="20"/>
                <w:szCs w:val="20"/>
                <w:lang w:val="sr-Cyrl-CS"/>
              </w:rPr>
            </w:pPr>
            <w:r>
              <w:rPr>
                <w:color w:val="000000"/>
                <w:sz w:val="20"/>
                <w:szCs w:val="20"/>
                <w:lang w:val="sr-Cyrl-CS"/>
              </w:rPr>
              <w:t>г</w:t>
            </w:r>
            <w:r w:rsidR="003F16B0" w:rsidRPr="005E2B7A">
              <w:rPr>
                <w:color w:val="000000"/>
                <w:sz w:val="20"/>
                <w:szCs w:val="20"/>
                <w:lang w:val="sr-Cyrl-CS"/>
              </w:rPr>
              <w:t>одина/</w:t>
            </w:r>
          </w:p>
          <w:p w:rsidR="003F16B0" w:rsidRPr="005E2B7A" w:rsidRDefault="003F16B0" w:rsidP="007D6BFD">
            <w:pPr>
              <w:jc w:val="center"/>
              <w:rPr>
                <w:color w:val="000000"/>
                <w:sz w:val="20"/>
                <w:szCs w:val="20"/>
                <w:lang w:val="sr-Cyrl-CS"/>
              </w:rPr>
            </w:pPr>
            <w:r w:rsidRPr="005E2B7A">
              <w:rPr>
                <w:color w:val="000000"/>
                <w:sz w:val="20"/>
                <w:szCs w:val="20"/>
                <w:lang w:val="sr-Cyrl-CS"/>
              </w:rPr>
              <w:t>месец</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I</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II</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III</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IV</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V</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VI</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VII</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VIII</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IX</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X</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XI</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XII</w:t>
            </w:r>
          </w:p>
        </w:tc>
        <w:tc>
          <w:tcPr>
            <w:tcW w:w="880" w:type="dxa"/>
            <w:vAlign w:val="bottom"/>
          </w:tcPr>
          <w:p w:rsidR="003F16B0" w:rsidRPr="005E2B7A" w:rsidRDefault="007D6BFD" w:rsidP="007D6BFD">
            <w:pPr>
              <w:jc w:val="center"/>
              <w:rPr>
                <w:color w:val="000000"/>
                <w:sz w:val="20"/>
                <w:szCs w:val="20"/>
                <w:lang w:val="sr-Cyrl-CS"/>
              </w:rPr>
            </w:pPr>
            <w:r w:rsidRPr="007D6BFD">
              <w:rPr>
                <w:color w:val="000000"/>
                <w:sz w:val="20"/>
                <w:szCs w:val="20"/>
              </w:rPr>
              <w:t>број дана у години &gt; GV</w:t>
            </w:r>
          </w:p>
        </w:tc>
      </w:tr>
      <w:tr w:rsidR="003F16B0" w:rsidRPr="005E2B7A" w:rsidTr="007D6BFD">
        <w:tblPrEx>
          <w:tblLook w:val="04A0" w:firstRow="1" w:lastRow="0" w:firstColumn="1" w:lastColumn="0" w:noHBand="0" w:noVBand="1"/>
        </w:tblPrEx>
        <w:trPr>
          <w:trHeight w:val="289"/>
        </w:trPr>
        <w:tc>
          <w:tcPr>
            <w:tcW w:w="892" w:type="dxa"/>
            <w:vAlign w:val="bottom"/>
          </w:tcPr>
          <w:p w:rsidR="003F16B0" w:rsidRPr="005E2B7A" w:rsidRDefault="003F16B0" w:rsidP="007D6BFD">
            <w:pPr>
              <w:jc w:val="center"/>
              <w:rPr>
                <w:color w:val="000000"/>
                <w:sz w:val="20"/>
                <w:szCs w:val="20"/>
              </w:rPr>
            </w:pPr>
            <w:r w:rsidRPr="005E2B7A">
              <w:rPr>
                <w:color w:val="000000"/>
                <w:sz w:val="20"/>
                <w:szCs w:val="20"/>
              </w:rPr>
              <w:t>2012</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7</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4</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3</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10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19</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20</w:t>
            </w:r>
          </w:p>
        </w:tc>
        <w:tc>
          <w:tcPr>
            <w:tcW w:w="880" w:type="dxa"/>
            <w:vAlign w:val="bottom"/>
          </w:tcPr>
          <w:p w:rsidR="003F16B0" w:rsidRPr="005E2B7A" w:rsidRDefault="003F16B0" w:rsidP="007D6BFD">
            <w:pPr>
              <w:jc w:val="right"/>
              <w:rPr>
                <w:color w:val="000000"/>
                <w:sz w:val="20"/>
                <w:szCs w:val="20"/>
              </w:rPr>
            </w:pPr>
            <w:r w:rsidRPr="005E2B7A">
              <w:rPr>
                <w:color w:val="000000"/>
                <w:sz w:val="20"/>
                <w:szCs w:val="20"/>
              </w:rPr>
              <w:t>63</w:t>
            </w:r>
          </w:p>
        </w:tc>
      </w:tr>
      <w:tr w:rsidR="003F16B0" w:rsidRPr="005E2B7A" w:rsidTr="007D6BFD">
        <w:tblPrEx>
          <w:tblLook w:val="04A0" w:firstRow="1" w:lastRow="0" w:firstColumn="1" w:lastColumn="0" w:noHBand="0" w:noVBand="1"/>
        </w:tblPrEx>
        <w:trPr>
          <w:trHeight w:val="289"/>
        </w:trPr>
        <w:tc>
          <w:tcPr>
            <w:tcW w:w="892" w:type="dxa"/>
            <w:vAlign w:val="bottom"/>
          </w:tcPr>
          <w:p w:rsidR="003F16B0" w:rsidRPr="005E2B7A" w:rsidRDefault="003F16B0" w:rsidP="007D6BFD">
            <w:pPr>
              <w:jc w:val="center"/>
              <w:rPr>
                <w:color w:val="000000"/>
                <w:sz w:val="20"/>
                <w:szCs w:val="20"/>
              </w:rPr>
            </w:pPr>
            <w:r w:rsidRPr="005E2B7A">
              <w:rPr>
                <w:color w:val="000000"/>
                <w:sz w:val="20"/>
                <w:szCs w:val="20"/>
              </w:rPr>
              <w:t>2013</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23</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5</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11</w:t>
            </w:r>
          </w:p>
        </w:tc>
        <w:tc>
          <w:tcPr>
            <w:tcW w:w="880" w:type="dxa"/>
            <w:vAlign w:val="bottom"/>
          </w:tcPr>
          <w:p w:rsidR="003F16B0" w:rsidRPr="005E2B7A" w:rsidRDefault="003F16B0" w:rsidP="007D6BFD">
            <w:pPr>
              <w:jc w:val="right"/>
              <w:rPr>
                <w:color w:val="000000"/>
                <w:sz w:val="20"/>
                <w:szCs w:val="20"/>
              </w:rPr>
            </w:pPr>
            <w:r w:rsidRPr="005E2B7A">
              <w:rPr>
                <w:color w:val="000000"/>
                <w:sz w:val="20"/>
                <w:szCs w:val="20"/>
              </w:rPr>
              <w:t>39</w:t>
            </w:r>
          </w:p>
        </w:tc>
      </w:tr>
      <w:tr w:rsidR="003F16B0" w:rsidRPr="005E2B7A" w:rsidTr="007D6BFD">
        <w:tblPrEx>
          <w:tblLook w:val="04A0" w:firstRow="1" w:lastRow="0" w:firstColumn="1" w:lastColumn="0" w:noHBand="0" w:noVBand="1"/>
        </w:tblPrEx>
        <w:trPr>
          <w:trHeight w:val="289"/>
        </w:trPr>
        <w:tc>
          <w:tcPr>
            <w:tcW w:w="892" w:type="dxa"/>
            <w:vAlign w:val="bottom"/>
          </w:tcPr>
          <w:p w:rsidR="003F16B0" w:rsidRPr="005E2B7A" w:rsidRDefault="003F16B0" w:rsidP="007D6BFD">
            <w:pPr>
              <w:jc w:val="center"/>
              <w:rPr>
                <w:color w:val="000000"/>
                <w:sz w:val="20"/>
                <w:szCs w:val="20"/>
              </w:rPr>
            </w:pPr>
            <w:r w:rsidRPr="005E2B7A">
              <w:rPr>
                <w:color w:val="000000"/>
                <w:sz w:val="20"/>
                <w:szCs w:val="20"/>
              </w:rPr>
              <w:t>2014</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13</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12</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1</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9</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11</w:t>
            </w:r>
          </w:p>
        </w:tc>
        <w:tc>
          <w:tcPr>
            <w:tcW w:w="880" w:type="dxa"/>
            <w:vAlign w:val="bottom"/>
          </w:tcPr>
          <w:p w:rsidR="003F16B0" w:rsidRPr="005E2B7A" w:rsidRDefault="003F16B0" w:rsidP="007D6BFD">
            <w:pPr>
              <w:jc w:val="right"/>
              <w:rPr>
                <w:color w:val="000000"/>
                <w:sz w:val="20"/>
                <w:szCs w:val="20"/>
              </w:rPr>
            </w:pPr>
            <w:r w:rsidRPr="005E2B7A">
              <w:rPr>
                <w:color w:val="000000"/>
                <w:sz w:val="20"/>
                <w:szCs w:val="20"/>
              </w:rPr>
              <w:t>46</w:t>
            </w:r>
          </w:p>
        </w:tc>
      </w:tr>
      <w:tr w:rsidR="003F16B0" w:rsidRPr="005E2B7A" w:rsidTr="007D6BFD">
        <w:tblPrEx>
          <w:tblLook w:val="04A0" w:firstRow="1" w:lastRow="0" w:firstColumn="1" w:lastColumn="0" w:noHBand="0" w:noVBand="1"/>
        </w:tblPrEx>
        <w:trPr>
          <w:trHeight w:val="289"/>
        </w:trPr>
        <w:tc>
          <w:tcPr>
            <w:tcW w:w="892" w:type="dxa"/>
            <w:vAlign w:val="bottom"/>
          </w:tcPr>
          <w:p w:rsidR="003F16B0" w:rsidRPr="005E2B7A" w:rsidRDefault="003F16B0" w:rsidP="007D6BFD">
            <w:pPr>
              <w:jc w:val="center"/>
              <w:rPr>
                <w:color w:val="000000"/>
                <w:sz w:val="20"/>
                <w:szCs w:val="20"/>
              </w:rPr>
            </w:pPr>
            <w:r w:rsidRPr="005E2B7A">
              <w:rPr>
                <w:color w:val="000000"/>
                <w:sz w:val="20"/>
                <w:szCs w:val="20"/>
              </w:rPr>
              <w:t>2015</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3</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3</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9</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16</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25</w:t>
            </w:r>
          </w:p>
        </w:tc>
        <w:tc>
          <w:tcPr>
            <w:tcW w:w="880" w:type="dxa"/>
            <w:vAlign w:val="bottom"/>
          </w:tcPr>
          <w:p w:rsidR="003F16B0" w:rsidRPr="005E2B7A" w:rsidRDefault="003F16B0" w:rsidP="007D6BFD">
            <w:pPr>
              <w:jc w:val="right"/>
              <w:rPr>
                <w:color w:val="000000"/>
                <w:sz w:val="20"/>
                <w:szCs w:val="20"/>
              </w:rPr>
            </w:pPr>
            <w:r w:rsidRPr="005E2B7A">
              <w:rPr>
                <w:color w:val="000000"/>
                <w:sz w:val="20"/>
                <w:szCs w:val="20"/>
              </w:rPr>
              <w:t>56</w:t>
            </w:r>
          </w:p>
        </w:tc>
      </w:tr>
      <w:tr w:rsidR="003F16B0" w:rsidRPr="005E2B7A" w:rsidTr="007D6BFD">
        <w:tblPrEx>
          <w:tblLook w:val="04A0" w:firstRow="1" w:lastRow="0" w:firstColumn="1" w:lastColumn="0" w:noHBand="0" w:noVBand="1"/>
        </w:tblPrEx>
        <w:trPr>
          <w:trHeight w:val="289"/>
        </w:trPr>
        <w:tc>
          <w:tcPr>
            <w:tcW w:w="892" w:type="dxa"/>
            <w:vAlign w:val="bottom"/>
          </w:tcPr>
          <w:p w:rsidR="003F16B0" w:rsidRPr="005E2B7A" w:rsidRDefault="003F16B0" w:rsidP="007D6BFD">
            <w:pPr>
              <w:jc w:val="center"/>
              <w:rPr>
                <w:color w:val="000000"/>
                <w:sz w:val="20"/>
                <w:szCs w:val="20"/>
              </w:rPr>
            </w:pPr>
            <w:r w:rsidRPr="005E2B7A">
              <w:rPr>
                <w:color w:val="000000"/>
                <w:sz w:val="20"/>
                <w:szCs w:val="20"/>
              </w:rPr>
              <w:t>2016</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17</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6</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1</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0</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5</w:t>
            </w:r>
          </w:p>
        </w:tc>
        <w:tc>
          <w:tcPr>
            <w:tcW w:w="641" w:type="dxa"/>
            <w:vAlign w:val="bottom"/>
          </w:tcPr>
          <w:p w:rsidR="003F16B0" w:rsidRPr="005E2B7A" w:rsidRDefault="003F16B0" w:rsidP="007D6BFD">
            <w:pPr>
              <w:jc w:val="right"/>
              <w:rPr>
                <w:color w:val="000000"/>
                <w:sz w:val="20"/>
                <w:szCs w:val="20"/>
              </w:rPr>
            </w:pPr>
            <w:r w:rsidRPr="005E2B7A">
              <w:rPr>
                <w:color w:val="000000"/>
                <w:sz w:val="20"/>
                <w:szCs w:val="20"/>
              </w:rPr>
              <w:t>12</w:t>
            </w:r>
          </w:p>
        </w:tc>
        <w:tc>
          <w:tcPr>
            <w:tcW w:w="641" w:type="dxa"/>
            <w:vAlign w:val="bottom"/>
          </w:tcPr>
          <w:p w:rsidR="003F16B0" w:rsidRPr="005E2B7A" w:rsidRDefault="003F16B0" w:rsidP="007D6BFD">
            <w:pPr>
              <w:rPr>
                <w:color w:val="000000"/>
                <w:sz w:val="20"/>
                <w:szCs w:val="20"/>
              </w:rPr>
            </w:pPr>
          </w:p>
        </w:tc>
        <w:tc>
          <w:tcPr>
            <w:tcW w:w="880" w:type="dxa"/>
            <w:vAlign w:val="bottom"/>
          </w:tcPr>
          <w:p w:rsidR="003F16B0" w:rsidRPr="005E2B7A" w:rsidRDefault="003F16B0" w:rsidP="007D6BFD">
            <w:pPr>
              <w:jc w:val="right"/>
              <w:rPr>
                <w:color w:val="000000"/>
                <w:sz w:val="20"/>
                <w:szCs w:val="20"/>
              </w:rPr>
            </w:pPr>
            <w:r w:rsidRPr="005E2B7A">
              <w:rPr>
                <w:color w:val="000000"/>
                <w:sz w:val="20"/>
                <w:szCs w:val="20"/>
              </w:rPr>
              <w:t>41</w:t>
            </w:r>
          </w:p>
        </w:tc>
      </w:tr>
    </w:tbl>
    <w:p w:rsidR="006E1B2B" w:rsidRPr="006E1B2B" w:rsidRDefault="006E1B2B" w:rsidP="006E1B2B"/>
    <w:p w:rsidR="006E1B2B" w:rsidRPr="006E1B2B" w:rsidRDefault="006E1B2B" w:rsidP="006E1B2B"/>
    <w:p w:rsidR="006E1B2B" w:rsidRPr="006E1B2B" w:rsidRDefault="006E1B2B" w:rsidP="006E1B2B">
      <w:r w:rsidRPr="006E1B2B">
        <w:rPr>
          <w:noProof/>
        </w:rPr>
        <w:drawing>
          <wp:inline distT="0" distB="0" distL="0" distR="0">
            <wp:extent cx="2872596" cy="2838090"/>
            <wp:effectExtent l="19050" t="0" r="23004" b="36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D6BFD">
        <w:t xml:space="preserve">   </w:t>
      </w:r>
      <w:r w:rsidR="007D6BFD" w:rsidRPr="006E1B2B">
        <w:rPr>
          <w:noProof/>
        </w:rPr>
        <w:drawing>
          <wp:inline distT="0" distB="0" distL="0" distR="0">
            <wp:extent cx="2801895" cy="2838090"/>
            <wp:effectExtent l="19050" t="0" r="17505" b="360"/>
            <wp:docPr id="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1B2B" w:rsidRPr="006E1B2B" w:rsidRDefault="006E1B2B" w:rsidP="006E1B2B"/>
    <w:p w:rsidR="006E1B2B" w:rsidRPr="006E1B2B" w:rsidRDefault="006E1B2B" w:rsidP="006E1B2B"/>
    <w:p w:rsidR="006E1B2B" w:rsidRDefault="006E1B2B" w:rsidP="006E1B2B"/>
    <w:p w:rsidR="006E1B2B" w:rsidRPr="00F26430" w:rsidRDefault="006E1B2B" w:rsidP="006E1B2B">
      <w:pPr>
        <w:autoSpaceDE w:val="0"/>
        <w:autoSpaceDN w:val="0"/>
        <w:adjustRightInd w:val="0"/>
        <w:jc w:val="both"/>
        <w:rPr>
          <w:sz w:val="23"/>
          <w:szCs w:val="23"/>
          <w:lang w:val="sr-Cyrl-CS"/>
        </w:rPr>
      </w:pPr>
      <w:r w:rsidRPr="00F26430">
        <w:rPr>
          <w:sz w:val="23"/>
          <w:szCs w:val="23"/>
          <w:lang w:val="sr-Cyrl-CS"/>
        </w:rPr>
        <w:t>Годишња концент</w:t>
      </w:r>
      <w:r>
        <w:rPr>
          <w:sz w:val="23"/>
          <w:szCs w:val="23"/>
          <w:lang w:val="sr-Cyrl-CS"/>
        </w:rPr>
        <w:t>р</w:t>
      </w:r>
      <w:r w:rsidRPr="00F26430">
        <w:rPr>
          <w:sz w:val="23"/>
          <w:szCs w:val="23"/>
          <w:lang w:val="sr-Cyrl-CS"/>
        </w:rPr>
        <w:t xml:space="preserve">ација чађи на мерном месту </w:t>
      </w:r>
      <w:r>
        <w:rPr>
          <w:sz w:val="23"/>
          <w:szCs w:val="23"/>
          <w:lang w:val="sr-Cyrl-CS"/>
        </w:rPr>
        <w:t xml:space="preserve">Зелени </w:t>
      </w:r>
      <w:r w:rsidRPr="00F26430">
        <w:rPr>
          <w:sz w:val="23"/>
          <w:szCs w:val="23"/>
          <w:lang w:val="sr-Cyrl-CS"/>
        </w:rPr>
        <w:t>пијац у 2012</w:t>
      </w:r>
      <w:r>
        <w:rPr>
          <w:sz w:val="23"/>
          <w:szCs w:val="23"/>
          <w:lang w:val="sr-Cyrl-CS"/>
        </w:rPr>
        <w:t>.</w:t>
      </w:r>
      <w:r w:rsidRPr="00F26430">
        <w:rPr>
          <w:sz w:val="23"/>
          <w:szCs w:val="23"/>
          <w:lang w:val="sr-Cyrl-CS"/>
        </w:rPr>
        <w:t xml:space="preserve"> години је била изнад годишње </w:t>
      </w:r>
      <w:r>
        <w:rPr>
          <w:sz w:val="23"/>
          <w:szCs w:val="23"/>
          <w:lang w:val="sr-Cyrl-CS"/>
        </w:rPr>
        <w:t>граничних вредности (ГВ)</w:t>
      </w:r>
      <w:r w:rsidRPr="00F26430">
        <w:rPr>
          <w:sz w:val="23"/>
          <w:szCs w:val="23"/>
          <w:lang w:val="sr-Cyrl-CS"/>
        </w:rPr>
        <w:t xml:space="preserve"> од 50 </w:t>
      </w:r>
      <w:r>
        <w:rPr>
          <w:rFonts w:ascii="Symbol" w:hAnsi="Symbol"/>
          <w:lang w:val="sr-Latn-BA"/>
        </w:rPr>
        <w:t></w:t>
      </w:r>
      <w:r w:rsidRPr="00BE445B">
        <w:rPr>
          <w:rFonts w:ascii="Symbol" w:hAnsi="Symbol"/>
          <w:lang w:val="sr-Latn-BA"/>
        </w:rPr>
        <w:t></w:t>
      </w:r>
      <w:r>
        <w:rPr>
          <w:lang w:val="sr-Latn-BA"/>
        </w:rPr>
        <w:t>g/m</w:t>
      </w:r>
      <w:r w:rsidRPr="00BE445B">
        <w:rPr>
          <w:vertAlign w:val="superscript"/>
          <w:lang w:val="sr-Latn-BA"/>
        </w:rPr>
        <w:t>3</w:t>
      </w:r>
      <w:r w:rsidRPr="00F26430">
        <w:rPr>
          <w:sz w:val="23"/>
          <w:szCs w:val="23"/>
          <w:lang w:val="sr-Cyrl-CS"/>
        </w:rPr>
        <w:t xml:space="preserve">, док </w:t>
      </w:r>
      <w:r>
        <w:rPr>
          <w:sz w:val="23"/>
          <w:szCs w:val="23"/>
          <w:lang w:val="sr-Cyrl-CS"/>
        </w:rPr>
        <w:t>су</w:t>
      </w:r>
      <w:r w:rsidRPr="00F26430">
        <w:rPr>
          <w:sz w:val="23"/>
          <w:szCs w:val="23"/>
          <w:lang w:val="sr-Cyrl-CS"/>
        </w:rPr>
        <w:t xml:space="preserve"> </w:t>
      </w:r>
      <w:r>
        <w:rPr>
          <w:sz w:val="23"/>
          <w:szCs w:val="23"/>
          <w:lang w:val="sr-Cyrl-CS"/>
        </w:rPr>
        <w:t>у наредним годинама забележене вредности испод ГВ</w:t>
      </w:r>
      <w:r w:rsidRPr="00F26430">
        <w:rPr>
          <w:sz w:val="23"/>
          <w:szCs w:val="23"/>
          <w:lang w:val="sr-Cyrl-CS"/>
        </w:rPr>
        <w:t>. Изузев 201</w:t>
      </w:r>
      <w:r w:rsidR="00F067E6">
        <w:rPr>
          <w:sz w:val="23"/>
          <w:szCs w:val="23"/>
          <w:lang w:val="sr-Cyrl-CS"/>
        </w:rPr>
        <w:t>5</w:t>
      </w:r>
      <w:r>
        <w:rPr>
          <w:sz w:val="23"/>
          <w:szCs w:val="23"/>
          <w:lang w:val="sr-Cyrl-CS"/>
        </w:rPr>
        <w:t>. године</w:t>
      </w:r>
      <w:r w:rsidRPr="00F26430">
        <w:rPr>
          <w:sz w:val="23"/>
          <w:szCs w:val="23"/>
          <w:lang w:val="sr-Cyrl-CS"/>
        </w:rPr>
        <w:t xml:space="preserve"> бележи се опадајући тренд</w:t>
      </w:r>
      <w:r>
        <w:rPr>
          <w:sz w:val="23"/>
          <w:szCs w:val="23"/>
          <w:lang w:val="sr-Cyrl-CS"/>
        </w:rPr>
        <w:t xml:space="preserve"> вредности</w:t>
      </w:r>
      <w:r w:rsidRPr="00F26430">
        <w:rPr>
          <w:sz w:val="23"/>
          <w:szCs w:val="23"/>
          <w:lang w:val="sr-Cyrl-CS"/>
        </w:rPr>
        <w:t>.</w:t>
      </w:r>
    </w:p>
    <w:p w:rsidR="006E1B2B" w:rsidRPr="00F26430" w:rsidRDefault="006E1B2B" w:rsidP="006E1B2B">
      <w:pPr>
        <w:autoSpaceDE w:val="0"/>
        <w:autoSpaceDN w:val="0"/>
        <w:adjustRightInd w:val="0"/>
        <w:jc w:val="both"/>
        <w:rPr>
          <w:sz w:val="23"/>
          <w:szCs w:val="23"/>
          <w:lang w:val="sr-Cyrl-CS"/>
        </w:rPr>
      </w:pPr>
      <w:r w:rsidRPr="00F26430">
        <w:rPr>
          <w:sz w:val="23"/>
          <w:szCs w:val="23"/>
          <w:lang w:val="sr-Cyrl-CS"/>
        </w:rPr>
        <w:t>Годишња концентраци</w:t>
      </w:r>
      <w:r>
        <w:rPr>
          <w:sz w:val="23"/>
          <w:szCs w:val="23"/>
          <w:lang w:val="sr-Cyrl-CS"/>
        </w:rPr>
        <w:t>ја чађи на мерном месту Севојно-</w:t>
      </w:r>
      <w:r w:rsidRPr="00F26430">
        <w:rPr>
          <w:sz w:val="23"/>
          <w:szCs w:val="23"/>
          <w:lang w:val="sr-Cyrl-CS"/>
        </w:rPr>
        <w:t>амбуланта је исод ГВ и изузев 201</w:t>
      </w:r>
      <w:r w:rsidR="00F067E6">
        <w:rPr>
          <w:sz w:val="23"/>
          <w:szCs w:val="23"/>
          <w:lang w:val="sr-Cyrl-CS"/>
        </w:rPr>
        <w:t>5</w:t>
      </w:r>
      <w:r w:rsidR="00BB1746">
        <w:rPr>
          <w:sz w:val="23"/>
          <w:szCs w:val="23"/>
          <w:lang w:val="sr-Cyrl-CS"/>
        </w:rPr>
        <w:t>.,</w:t>
      </w:r>
      <w:r w:rsidRPr="00F26430">
        <w:rPr>
          <w:sz w:val="23"/>
          <w:szCs w:val="23"/>
          <w:lang w:val="sr-Cyrl-CS"/>
        </w:rPr>
        <w:t xml:space="preserve"> у опадајућем </w:t>
      </w:r>
      <w:r w:rsidR="00BB1746">
        <w:rPr>
          <w:sz w:val="23"/>
          <w:szCs w:val="23"/>
          <w:lang w:val="sr-Cyrl-CS"/>
        </w:rPr>
        <w:t xml:space="preserve">је </w:t>
      </w:r>
      <w:r w:rsidRPr="00F26430">
        <w:rPr>
          <w:sz w:val="23"/>
          <w:szCs w:val="23"/>
          <w:lang w:val="sr-Cyrl-CS"/>
        </w:rPr>
        <w:t>тренду.</w:t>
      </w:r>
    </w:p>
    <w:p w:rsidR="006E1B2B" w:rsidRDefault="006E1B2B" w:rsidP="006E1B2B">
      <w:pPr>
        <w:autoSpaceDE w:val="0"/>
        <w:autoSpaceDN w:val="0"/>
        <w:adjustRightInd w:val="0"/>
        <w:jc w:val="both"/>
        <w:rPr>
          <w:sz w:val="23"/>
          <w:szCs w:val="23"/>
          <w:lang w:val="sr-Cyrl-CS"/>
        </w:rPr>
      </w:pPr>
      <w:r w:rsidRPr="00F26430">
        <w:rPr>
          <w:sz w:val="23"/>
          <w:szCs w:val="23"/>
          <w:lang w:val="sr-Cyrl-CS"/>
        </w:rPr>
        <w:t>Број дана у к</w:t>
      </w:r>
      <w:r>
        <w:rPr>
          <w:sz w:val="23"/>
          <w:szCs w:val="23"/>
          <w:lang w:val="sr-Cyrl-CS"/>
        </w:rPr>
        <w:t xml:space="preserve">ојима је дневна вредност преко </w:t>
      </w:r>
      <w:r w:rsidRPr="00F26430">
        <w:rPr>
          <w:sz w:val="23"/>
          <w:szCs w:val="23"/>
          <w:lang w:val="sr-Cyrl-CS"/>
        </w:rPr>
        <w:t>граничне вредности је у односу на 2012</w:t>
      </w:r>
      <w:r w:rsidR="00BB1746">
        <w:rPr>
          <w:sz w:val="23"/>
          <w:szCs w:val="23"/>
          <w:lang w:val="sr-Cyrl-CS"/>
        </w:rPr>
        <w:t>. годину</w:t>
      </w:r>
      <w:r w:rsidRPr="00F26430">
        <w:rPr>
          <w:sz w:val="23"/>
          <w:szCs w:val="23"/>
          <w:lang w:val="sr-Cyrl-CS"/>
        </w:rPr>
        <w:t xml:space="preserve"> двоструко мањи.</w:t>
      </w:r>
      <w:r>
        <w:rPr>
          <w:sz w:val="23"/>
          <w:szCs w:val="23"/>
          <w:lang w:val="sr-Cyrl-CS"/>
        </w:rPr>
        <w:t xml:space="preserve"> </w:t>
      </w:r>
      <w:r w:rsidRPr="00F26430">
        <w:rPr>
          <w:sz w:val="23"/>
          <w:szCs w:val="23"/>
          <w:lang w:val="sr-Cyrl-CS"/>
        </w:rPr>
        <w:t xml:space="preserve">Значајно </w:t>
      </w:r>
      <w:r>
        <w:rPr>
          <w:sz w:val="23"/>
          <w:szCs w:val="23"/>
          <w:lang w:val="sr-Cyrl-CS"/>
        </w:rPr>
        <w:t xml:space="preserve">је </w:t>
      </w:r>
      <w:r w:rsidRPr="00F26430">
        <w:rPr>
          <w:sz w:val="23"/>
          <w:szCs w:val="23"/>
          <w:lang w:val="sr-Cyrl-CS"/>
        </w:rPr>
        <w:t>мањи и број дана преко ГВ у Севојну.</w:t>
      </w:r>
    </w:p>
    <w:p w:rsidR="006E1B2B" w:rsidRDefault="006E1B2B" w:rsidP="006E1B2B">
      <w:pPr>
        <w:autoSpaceDE w:val="0"/>
        <w:autoSpaceDN w:val="0"/>
        <w:adjustRightInd w:val="0"/>
        <w:ind w:left="1288"/>
        <w:jc w:val="both"/>
        <w:rPr>
          <w:sz w:val="23"/>
          <w:szCs w:val="23"/>
          <w:lang w:val="sr-Cyrl-CS"/>
        </w:rPr>
      </w:pPr>
    </w:p>
    <w:p w:rsidR="00985FD3" w:rsidRPr="00985FD3" w:rsidRDefault="00985FD3" w:rsidP="006E1B2B">
      <w:pPr>
        <w:autoSpaceDE w:val="0"/>
        <w:autoSpaceDN w:val="0"/>
        <w:adjustRightInd w:val="0"/>
        <w:jc w:val="both"/>
        <w:rPr>
          <w:sz w:val="23"/>
          <w:szCs w:val="23"/>
          <w:lang w:val="sr-Latn-CS"/>
        </w:rPr>
      </w:pPr>
    </w:p>
    <w:p w:rsidR="006E1B2B" w:rsidRPr="00816976" w:rsidRDefault="006E1B2B" w:rsidP="006E1B2B">
      <w:pPr>
        <w:autoSpaceDE w:val="0"/>
        <w:autoSpaceDN w:val="0"/>
        <w:adjustRightInd w:val="0"/>
        <w:jc w:val="both"/>
        <w:rPr>
          <w:color w:val="FF0000"/>
          <w:sz w:val="23"/>
          <w:szCs w:val="23"/>
        </w:rPr>
      </w:pPr>
    </w:p>
    <w:p w:rsidR="006E1B2B" w:rsidRPr="007D575F" w:rsidRDefault="00426941" w:rsidP="00426941">
      <w:pPr>
        <w:jc w:val="both"/>
        <w:rPr>
          <w:b/>
          <w:sz w:val="23"/>
          <w:szCs w:val="23"/>
          <w:lang w:val="sr-Cyrl-CS"/>
        </w:rPr>
      </w:pPr>
      <w:r>
        <w:rPr>
          <w:b/>
          <w:sz w:val="23"/>
          <w:szCs w:val="23"/>
          <w:lang w:val="sr-Cyrl-CS"/>
        </w:rPr>
        <w:t xml:space="preserve">3. </w:t>
      </w:r>
      <w:r w:rsidR="006E1B2B" w:rsidRPr="007D575F">
        <w:rPr>
          <w:b/>
          <w:sz w:val="23"/>
          <w:szCs w:val="23"/>
          <w:lang w:val="sr-Cyrl-CS"/>
        </w:rPr>
        <w:t>ПОДАЦИ О ИЗВОРИМА ЗАГАЂИВАЊА И УТИЦАЈУ ДЕЛАТНОСТИ ОД ЗНАЧАЈА ЗА ПЛАНИРАЊЕ</w:t>
      </w:r>
    </w:p>
    <w:p w:rsidR="006E1B2B" w:rsidRPr="007D575F" w:rsidRDefault="006E1B2B" w:rsidP="006E1B2B">
      <w:pPr>
        <w:jc w:val="both"/>
        <w:rPr>
          <w:b/>
          <w:color w:val="FF0000"/>
          <w:sz w:val="23"/>
          <w:szCs w:val="23"/>
          <w:lang w:val="sr-Cyrl-CS"/>
        </w:rPr>
      </w:pPr>
    </w:p>
    <w:p w:rsidR="006E1B2B" w:rsidRPr="007D575F" w:rsidRDefault="006E1B2B" w:rsidP="006E1B2B">
      <w:pPr>
        <w:jc w:val="both"/>
        <w:rPr>
          <w:sz w:val="23"/>
          <w:szCs w:val="23"/>
          <w:lang w:val="sr-Cyrl-CS"/>
        </w:rPr>
      </w:pPr>
      <w:r w:rsidRPr="007D575F">
        <w:rPr>
          <w:sz w:val="23"/>
          <w:szCs w:val="23"/>
          <w:lang w:val="sr-Cyrl-CS"/>
        </w:rPr>
        <w:t xml:space="preserve">Централни делови просторних целина „Ужице“, „Крчагово“ и „Севојно“, (дефинисане ГУП-ом града Ужица) су топлифицирани. Од укупног броја домаћинстава на овом подручју, 28 % се топлотном енергијом снабдева из система даљинског грејања. </w:t>
      </w:r>
    </w:p>
    <w:p w:rsidR="006E1B2B" w:rsidRPr="00B5259C" w:rsidRDefault="006E1B2B" w:rsidP="006E1B2B">
      <w:pPr>
        <w:jc w:val="both"/>
        <w:rPr>
          <w:sz w:val="23"/>
          <w:szCs w:val="23"/>
        </w:rPr>
      </w:pPr>
      <w:r>
        <w:rPr>
          <w:color w:val="000000"/>
          <w:sz w:val="23"/>
          <w:szCs w:val="23"/>
          <w:lang w:val="sr-Cyrl-CS"/>
        </w:rPr>
        <w:t>Градска т</w:t>
      </w:r>
      <w:r w:rsidRPr="00B5259C">
        <w:rPr>
          <w:sz w:val="23"/>
          <w:szCs w:val="23"/>
          <w:lang w:val="sr-Cyrl-CS"/>
        </w:rPr>
        <w:t xml:space="preserve">оплана има у погону </w:t>
      </w:r>
      <w:r w:rsidRPr="00B5259C">
        <w:rPr>
          <w:sz w:val="23"/>
          <w:szCs w:val="23"/>
          <w:lang w:val="ru-RU"/>
        </w:rPr>
        <w:t>13</w:t>
      </w:r>
      <w:r w:rsidRPr="00B5259C">
        <w:rPr>
          <w:sz w:val="23"/>
          <w:szCs w:val="23"/>
          <w:lang w:val="sr-Cyrl-CS"/>
        </w:rPr>
        <w:t xml:space="preserve"> котларница, укупног инсталисаног топлотног капацитетa </w:t>
      </w:r>
      <w:r w:rsidRPr="00B5259C">
        <w:rPr>
          <w:sz w:val="23"/>
          <w:szCs w:val="23"/>
          <w:lang w:val="ru-RU"/>
        </w:rPr>
        <w:t>78.65</w:t>
      </w:r>
      <w:r w:rsidRPr="00B5259C">
        <w:rPr>
          <w:sz w:val="23"/>
          <w:szCs w:val="23"/>
          <w:lang w:val="sr-Cyrl-CS"/>
        </w:rPr>
        <w:t xml:space="preserve"> MW (у 8 котларница укупног инсталисаног капацитета од </w:t>
      </w:r>
      <w:r w:rsidRPr="00B5259C">
        <w:rPr>
          <w:sz w:val="23"/>
          <w:szCs w:val="23"/>
          <w:lang w:val="ru-RU"/>
        </w:rPr>
        <w:t>60.0</w:t>
      </w:r>
      <w:r w:rsidRPr="00B5259C">
        <w:rPr>
          <w:sz w:val="23"/>
          <w:szCs w:val="23"/>
          <w:lang w:val="sr-Cyrl-CS"/>
        </w:rPr>
        <w:t xml:space="preserve"> </w:t>
      </w:r>
      <w:r w:rsidRPr="00B5259C">
        <w:rPr>
          <w:sz w:val="23"/>
          <w:szCs w:val="23"/>
          <w:lang w:val="sr-Latn-CS"/>
        </w:rPr>
        <w:t>MW</w:t>
      </w:r>
      <w:r w:rsidRPr="00B5259C">
        <w:rPr>
          <w:sz w:val="23"/>
          <w:szCs w:val="23"/>
          <w:lang w:val="sr-Cyrl-CS"/>
        </w:rPr>
        <w:t xml:space="preserve"> користи се гас као основни енергент, а мазут као алтернативни; у </w:t>
      </w:r>
      <w:r w:rsidRPr="00B5259C">
        <w:rPr>
          <w:sz w:val="23"/>
          <w:szCs w:val="23"/>
          <w:lang w:val="ru-RU"/>
        </w:rPr>
        <w:t>3</w:t>
      </w:r>
      <w:r w:rsidRPr="00B5259C">
        <w:rPr>
          <w:sz w:val="23"/>
          <w:szCs w:val="23"/>
          <w:lang w:val="sr-Cyrl-CS"/>
        </w:rPr>
        <w:t xml:space="preserve"> котларниц</w:t>
      </w:r>
      <w:r w:rsidRPr="00B5259C">
        <w:rPr>
          <w:sz w:val="23"/>
          <w:szCs w:val="23"/>
        </w:rPr>
        <w:t>e</w:t>
      </w:r>
      <w:r w:rsidRPr="00B5259C">
        <w:rPr>
          <w:sz w:val="23"/>
          <w:szCs w:val="23"/>
          <w:lang w:val="sr-Cyrl-CS"/>
        </w:rPr>
        <w:t xml:space="preserve"> укупног инсталисаног капацитета од </w:t>
      </w:r>
      <w:r w:rsidRPr="00B5259C">
        <w:rPr>
          <w:sz w:val="23"/>
          <w:szCs w:val="23"/>
          <w:lang w:val="ru-RU"/>
        </w:rPr>
        <w:t>18.1</w:t>
      </w:r>
      <w:r w:rsidRPr="00B5259C">
        <w:rPr>
          <w:sz w:val="23"/>
          <w:szCs w:val="23"/>
          <w:lang w:val="sr-Cyrl-CS"/>
        </w:rPr>
        <w:t xml:space="preserve"> MW користи се мазут као енергент и у 2 котларнице</w:t>
      </w:r>
      <w:r w:rsidRPr="00B5259C">
        <w:rPr>
          <w:sz w:val="23"/>
          <w:szCs w:val="23"/>
          <w:lang w:val="sr-Latn-CS"/>
        </w:rPr>
        <w:t xml:space="preserve">, </w:t>
      </w:r>
      <w:r w:rsidRPr="00B5259C">
        <w:rPr>
          <w:sz w:val="23"/>
          <w:szCs w:val="23"/>
          <w:lang w:val="sr-Cyrl-CS"/>
        </w:rPr>
        <w:t xml:space="preserve">укупног инсталисаног капацитета од </w:t>
      </w:r>
      <w:r w:rsidRPr="00B5259C">
        <w:rPr>
          <w:sz w:val="23"/>
          <w:szCs w:val="23"/>
          <w:lang w:val="sr-Latn-CS"/>
        </w:rPr>
        <w:t>0,55</w:t>
      </w:r>
      <w:r w:rsidRPr="00B5259C">
        <w:rPr>
          <w:sz w:val="23"/>
          <w:szCs w:val="23"/>
          <w:lang w:val="sr-Cyrl-CS"/>
        </w:rPr>
        <w:t xml:space="preserve"> </w:t>
      </w:r>
      <w:r w:rsidRPr="00B5259C">
        <w:rPr>
          <w:sz w:val="23"/>
          <w:szCs w:val="23"/>
          <w:lang w:val="sr-Latn-CS"/>
        </w:rPr>
        <w:t>MW корист</w:t>
      </w:r>
      <w:r w:rsidRPr="00B5259C">
        <w:rPr>
          <w:sz w:val="23"/>
          <w:szCs w:val="23"/>
          <w:lang w:val="sr-Cyrl-CS"/>
        </w:rPr>
        <w:t>и се</w:t>
      </w:r>
      <w:r w:rsidRPr="00B5259C">
        <w:rPr>
          <w:sz w:val="23"/>
          <w:szCs w:val="23"/>
          <w:lang w:val="sr-Latn-CS"/>
        </w:rPr>
        <w:t xml:space="preserve"> пелет као </w:t>
      </w:r>
      <w:r w:rsidRPr="00B5259C">
        <w:rPr>
          <w:sz w:val="23"/>
          <w:szCs w:val="23"/>
          <w:lang w:val="sr-Cyrl-CS"/>
        </w:rPr>
        <w:t xml:space="preserve">основно гориво, а угаљ је алтернативно гориво). </w:t>
      </w:r>
    </w:p>
    <w:p w:rsidR="006E1B2B" w:rsidRPr="00B5259C" w:rsidRDefault="006E1B2B" w:rsidP="00D477CC">
      <w:pPr>
        <w:spacing w:after="240"/>
        <w:jc w:val="both"/>
        <w:rPr>
          <w:sz w:val="23"/>
          <w:szCs w:val="23"/>
          <w:lang w:val="sr-Cyrl-CS"/>
        </w:rPr>
      </w:pPr>
      <w:r w:rsidRPr="00B5259C">
        <w:rPr>
          <w:sz w:val="23"/>
          <w:szCs w:val="23"/>
          <w:lang w:val="sr-Cyrl-CS"/>
        </w:rPr>
        <w:t xml:space="preserve">Из система даљинског грејања ЈКП „Градска топлана Ужице“, топлотном енергијом се снабдева: </w:t>
      </w:r>
      <w:r w:rsidRPr="00B5259C">
        <w:rPr>
          <w:sz w:val="23"/>
          <w:szCs w:val="23"/>
          <w:lang w:val="ru-RU"/>
        </w:rPr>
        <w:t>5</w:t>
      </w:r>
      <w:r w:rsidR="00426941">
        <w:rPr>
          <w:sz w:val="23"/>
          <w:szCs w:val="23"/>
          <w:lang w:val="ru-RU"/>
        </w:rPr>
        <w:t>.</w:t>
      </w:r>
      <w:r w:rsidRPr="00B5259C">
        <w:rPr>
          <w:sz w:val="23"/>
          <w:szCs w:val="23"/>
          <w:lang w:val="ru-RU"/>
        </w:rPr>
        <w:t>799</w:t>
      </w:r>
      <w:r w:rsidRPr="00B5259C">
        <w:rPr>
          <w:sz w:val="23"/>
          <w:szCs w:val="23"/>
          <w:lang w:val="sr-Cyrl-CS"/>
        </w:rPr>
        <w:t xml:space="preserve"> домаћинства, </w:t>
      </w:r>
      <w:r w:rsidRPr="00B5259C">
        <w:rPr>
          <w:sz w:val="23"/>
          <w:szCs w:val="23"/>
          <w:lang w:val="ru-RU"/>
        </w:rPr>
        <w:t>29</w:t>
      </w:r>
      <w:r w:rsidRPr="00B5259C">
        <w:rPr>
          <w:sz w:val="23"/>
          <w:szCs w:val="23"/>
          <w:lang w:val="sr-Cyrl-CS"/>
        </w:rPr>
        <w:t xml:space="preserve"> корисника јавних простора и 455 корисника пословних простора, укупно </w:t>
      </w:r>
      <w:r w:rsidRPr="00B5259C">
        <w:rPr>
          <w:sz w:val="23"/>
          <w:szCs w:val="23"/>
          <w:lang w:val="ru-RU"/>
        </w:rPr>
        <w:t>403</w:t>
      </w:r>
      <w:r w:rsidR="00426941">
        <w:rPr>
          <w:sz w:val="23"/>
          <w:szCs w:val="23"/>
          <w:lang w:val="ru-RU"/>
        </w:rPr>
        <w:t>.</w:t>
      </w:r>
      <w:r w:rsidRPr="00B5259C">
        <w:rPr>
          <w:sz w:val="23"/>
          <w:szCs w:val="23"/>
          <w:lang w:val="ru-RU"/>
        </w:rPr>
        <w:t>611</w:t>
      </w:r>
      <w:r w:rsidRPr="00B5259C">
        <w:rPr>
          <w:sz w:val="23"/>
          <w:szCs w:val="23"/>
          <w:lang w:val="sr-Cyrl-CS"/>
        </w:rPr>
        <w:t xml:space="preserve"> </w:t>
      </w:r>
      <w:r w:rsidRPr="00B5259C">
        <w:rPr>
          <w:sz w:val="23"/>
          <w:szCs w:val="23"/>
          <w:lang w:val="sr-Latn-CS"/>
        </w:rPr>
        <w:t>m</w:t>
      </w:r>
      <w:r w:rsidRPr="00B5259C">
        <w:rPr>
          <w:sz w:val="23"/>
          <w:szCs w:val="23"/>
          <w:vertAlign w:val="superscript"/>
          <w:lang w:val="sr-Cyrl-CS"/>
        </w:rPr>
        <w:t>2</w:t>
      </w:r>
      <w:r w:rsidR="00426941">
        <w:rPr>
          <w:sz w:val="23"/>
          <w:szCs w:val="23"/>
          <w:lang w:val="sr-Cyrl-CS"/>
        </w:rPr>
        <w:t xml:space="preserve">  грејаног простора.</w:t>
      </w:r>
    </w:p>
    <w:p w:rsidR="00AD01B3" w:rsidRPr="007D575F" w:rsidRDefault="006E1B2B" w:rsidP="00D477CC">
      <w:pPr>
        <w:spacing w:after="240"/>
        <w:jc w:val="both"/>
        <w:rPr>
          <w:sz w:val="23"/>
          <w:szCs w:val="23"/>
          <w:lang w:val="sr-Cyrl-CS"/>
        </w:rPr>
      </w:pPr>
      <w:r w:rsidRPr="007D575F">
        <w:rPr>
          <w:color w:val="000000"/>
          <w:sz w:val="23"/>
          <w:szCs w:val="23"/>
          <w:lang w:val="sr-Cyrl-CS"/>
        </w:rPr>
        <w:t>Индивидуалне</w:t>
      </w:r>
      <w:r w:rsidRPr="007D575F">
        <w:rPr>
          <w:sz w:val="23"/>
          <w:szCs w:val="23"/>
          <w:lang w:val="sr-Cyrl-CS"/>
        </w:rPr>
        <w:t xml:space="preserve"> котларнице и индивидуална ложишта, у којима се углавном користе чврста фосилна горива, су један од највећих извора загађења ваздуха, на територији града. </w:t>
      </w:r>
      <w:r w:rsidRPr="007D575F">
        <w:rPr>
          <w:rFonts w:cs="DDAIPI+TimesNewRoman"/>
          <w:sz w:val="23"/>
          <w:szCs w:val="23"/>
          <w:lang w:val="sr-Cyrl-CS"/>
        </w:rPr>
        <w:t>Због лошег квалитета енергената и неправилног процеса сагоревања, димни гасови, који се из</w:t>
      </w:r>
      <w:r w:rsidR="00D477CC">
        <w:rPr>
          <w:rFonts w:cs="DDAIPI+TimesNewRoman"/>
          <w:sz w:val="23"/>
          <w:szCs w:val="23"/>
          <w:lang w:val="sr-Cyrl-CS"/>
        </w:rPr>
        <w:t xml:space="preserve"> </w:t>
      </w:r>
      <w:r w:rsidR="00AD01B3" w:rsidRPr="007D575F">
        <w:rPr>
          <w:rFonts w:cs="DDAIPI+TimesNewRoman"/>
          <w:sz w:val="23"/>
          <w:szCs w:val="23"/>
          <w:lang w:val="sr-Cyrl-CS"/>
        </w:rPr>
        <w:t xml:space="preserve">ложишта емитују у атмосферу, садрже штетне и опасне материје, као што су: </w:t>
      </w:r>
      <w:r w:rsidR="00AD01B3" w:rsidRPr="007D575F">
        <w:rPr>
          <w:sz w:val="23"/>
          <w:szCs w:val="23"/>
          <w:lang w:val="sr-Cyrl-CS"/>
        </w:rPr>
        <w:t>угљен моноксид</w:t>
      </w:r>
      <w:r w:rsidR="00AD01B3" w:rsidRPr="007D575F">
        <w:rPr>
          <w:rFonts w:ascii="DDAIPI+TimesNewRoman" w:hAnsi="DDAIPI+TimesNewRoman" w:cs="DDAIPI+TimesNewRoman"/>
          <w:sz w:val="23"/>
          <w:szCs w:val="23"/>
          <w:lang w:val="sr-Cyrl-CS"/>
        </w:rPr>
        <w:t xml:space="preserve">, </w:t>
      </w:r>
      <w:r w:rsidR="00AD01B3" w:rsidRPr="007D575F">
        <w:rPr>
          <w:sz w:val="23"/>
          <w:szCs w:val="23"/>
          <w:lang w:val="sr-Cyrl-CS"/>
        </w:rPr>
        <w:t>сумпорни оксиди</w:t>
      </w:r>
      <w:r w:rsidR="00AD01B3" w:rsidRPr="007D575F">
        <w:rPr>
          <w:rFonts w:ascii="DDAIPI+TimesNewRoman" w:hAnsi="DDAIPI+TimesNewRoman" w:cs="DDAIPI+TimesNewRoman"/>
          <w:sz w:val="23"/>
          <w:szCs w:val="23"/>
          <w:lang w:val="sr-Cyrl-CS"/>
        </w:rPr>
        <w:t xml:space="preserve">, </w:t>
      </w:r>
      <w:r w:rsidR="00AD01B3" w:rsidRPr="007D575F">
        <w:rPr>
          <w:sz w:val="23"/>
          <w:szCs w:val="23"/>
          <w:lang w:val="sr-Cyrl-CS"/>
        </w:rPr>
        <w:t>азотни оксиди</w:t>
      </w:r>
      <w:r w:rsidR="00AD01B3" w:rsidRPr="007D575F">
        <w:rPr>
          <w:rFonts w:ascii="DDAIPI+TimesNewRoman" w:hAnsi="DDAIPI+TimesNewRoman" w:cs="DDAIPI+TimesNewRoman"/>
          <w:sz w:val="23"/>
          <w:szCs w:val="23"/>
          <w:lang w:val="sr-Cyrl-CS"/>
        </w:rPr>
        <w:t xml:space="preserve">, </w:t>
      </w:r>
      <w:r w:rsidR="00AD01B3" w:rsidRPr="007D575F">
        <w:rPr>
          <w:sz w:val="23"/>
          <w:szCs w:val="23"/>
          <w:lang w:val="sr-Cyrl-CS"/>
        </w:rPr>
        <w:t xml:space="preserve">гасовита неорганска једињења флуора и хлора и прашкасте материје, тешки метали. </w:t>
      </w:r>
    </w:p>
    <w:p w:rsidR="00AD01B3" w:rsidRPr="007D575F" w:rsidRDefault="00AD01B3" w:rsidP="00D477CC">
      <w:pPr>
        <w:autoSpaceDE w:val="0"/>
        <w:autoSpaceDN w:val="0"/>
        <w:adjustRightInd w:val="0"/>
        <w:spacing w:after="240"/>
        <w:jc w:val="both"/>
        <w:rPr>
          <w:sz w:val="23"/>
          <w:szCs w:val="23"/>
          <w:lang w:val="sr-Cyrl-CS"/>
        </w:rPr>
      </w:pPr>
      <w:r w:rsidRPr="007D575F">
        <w:rPr>
          <w:sz w:val="23"/>
          <w:szCs w:val="23"/>
          <w:lang w:val="sr-Cyrl-CS"/>
        </w:rPr>
        <w:t xml:space="preserve">Процењује се да на подручју града, има око </w:t>
      </w:r>
      <w:r w:rsidRPr="00426941">
        <w:rPr>
          <w:b/>
          <w:sz w:val="23"/>
          <w:szCs w:val="23"/>
          <w:lang w:val="sr-Cyrl-CS"/>
        </w:rPr>
        <w:t>16 00</w:t>
      </w:r>
      <w:r w:rsidRPr="00426941">
        <w:rPr>
          <w:b/>
          <w:sz w:val="23"/>
          <w:szCs w:val="23"/>
          <w:lang w:val="ru-RU"/>
        </w:rPr>
        <w:t>0</w:t>
      </w:r>
      <w:r w:rsidRPr="00426941">
        <w:rPr>
          <w:b/>
          <w:sz w:val="23"/>
          <w:szCs w:val="23"/>
          <w:lang w:val="sr-Cyrl-CS"/>
        </w:rPr>
        <w:t xml:space="preserve"> </w:t>
      </w:r>
      <w:r w:rsidRPr="00426941">
        <w:rPr>
          <w:b/>
          <w:color w:val="000000"/>
          <w:sz w:val="23"/>
          <w:szCs w:val="23"/>
          <w:lang w:val="sr-Cyrl-CS"/>
        </w:rPr>
        <w:t>индивидуалних</w:t>
      </w:r>
      <w:r w:rsidRPr="00426941">
        <w:rPr>
          <w:b/>
          <w:color w:val="FF0000"/>
          <w:sz w:val="23"/>
          <w:szCs w:val="23"/>
          <w:lang w:val="sr-Cyrl-CS"/>
        </w:rPr>
        <w:t xml:space="preserve"> </w:t>
      </w:r>
      <w:r w:rsidRPr="00426941">
        <w:rPr>
          <w:b/>
          <w:sz w:val="23"/>
          <w:szCs w:val="23"/>
          <w:lang w:val="sr-Cyrl-CS"/>
        </w:rPr>
        <w:t>ложишта</w:t>
      </w:r>
      <w:r w:rsidRPr="007D575F">
        <w:rPr>
          <w:sz w:val="23"/>
          <w:szCs w:val="23"/>
          <w:lang w:val="sr-Cyrl-CS"/>
        </w:rPr>
        <w:t>. Продукти сагоревања из ових ложишта се претежно задржавају у најнижим (приземним) деловима атмосфере, због релативно ниских димњака, специфичне конфигурације терена и неповољног струјања ваздушних маса. На врсту и квалитет енергената, као и на сам процес сагоревања у овим ложиштима, тешко је утицати, зато што су то у највећој мери ложишта у домаћинствима.</w:t>
      </w:r>
      <w:r w:rsidRPr="007D575F">
        <w:rPr>
          <w:rFonts w:ascii="ArialMT" w:hAnsi="ArialMT" w:cs="ArialMT"/>
          <w:sz w:val="23"/>
          <w:szCs w:val="23"/>
          <w:lang w:val="sr-Cyrl-CS"/>
        </w:rPr>
        <w:t xml:space="preserve"> </w:t>
      </w:r>
      <w:r w:rsidRPr="007D575F">
        <w:rPr>
          <w:sz w:val="23"/>
          <w:szCs w:val="23"/>
          <w:lang w:val="sr-Cyrl-CS"/>
        </w:rPr>
        <w:t xml:space="preserve">70 % становника користи дрво и угаљ за грејање у индивидуалним ложиштима. </w:t>
      </w:r>
      <w:r w:rsidR="00426941">
        <w:rPr>
          <w:sz w:val="23"/>
          <w:szCs w:val="23"/>
          <w:lang w:val="sr-Cyrl-CS"/>
        </w:rPr>
        <w:t>У многим домаћинстивима у сврху огрева се користе и отпадни материјали</w:t>
      </w:r>
      <w:r w:rsidR="00A73104">
        <w:rPr>
          <w:sz w:val="23"/>
          <w:szCs w:val="23"/>
          <w:lang w:val="sr-Cyrl-CS"/>
        </w:rPr>
        <w:t xml:space="preserve"> (отпадна уља, текстил</w:t>
      </w:r>
      <w:r w:rsidR="00465BA1">
        <w:rPr>
          <w:sz w:val="23"/>
          <w:szCs w:val="23"/>
        </w:rPr>
        <w:t xml:space="preserve"> </w:t>
      </w:r>
      <w:r w:rsidR="00357005">
        <w:rPr>
          <w:sz w:val="23"/>
          <w:szCs w:val="23"/>
          <w:lang w:val="sr-Cyrl-CS"/>
        </w:rPr>
        <w:t xml:space="preserve">итд.) </w:t>
      </w:r>
      <w:r w:rsidR="00426941">
        <w:rPr>
          <w:sz w:val="23"/>
          <w:szCs w:val="23"/>
          <w:lang w:val="sr-Cyrl-CS"/>
        </w:rPr>
        <w:t xml:space="preserve">који нису томе намењени, чиме се додатно </w:t>
      </w:r>
      <w:r w:rsidR="00357005">
        <w:rPr>
          <w:sz w:val="23"/>
          <w:szCs w:val="23"/>
          <w:lang w:val="sr-Cyrl-CS"/>
        </w:rPr>
        <w:t xml:space="preserve">повећава концентрација загађујућих материја и угрожава стање животне средине. </w:t>
      </w:r>
      <w:r>
        <w:rPr>
          <w:sz w:val="23"/>
          <w:szCs w:val="23"/>
          <w:lang w:val="sr-Cyrl-CS"/>
        </w:rPr>
        <w:t>Инспекциј</w:t>
      </w:r>
      <w:r w:rsidR="00357005">
        <w:rPr>
          <w:sz w:val="23"/>
          <w:szCs w:val="23"/>
          <w:lang w:val="sr-Cyrl-CS"/>
        </w:rPr>
        <w:t>ске службе</w:t>
      </w:r>
      <w:r w:rsidR="00426941">
        <w:rPr>
          <w:sz w:val="23"/>
          <w:szCs w:val="23"/>
          <w:lang w:val="sr-Cyrl-CS"/>
        </w:rPr>
        <w:t xml:space="preserve"> </w:t>
      </w:r>
      <w:r w:rsidR="00357005">
        <w:rPr>
          <w:sz w:val="23"/>
          <w:szCs w:val="23"/>
          <w:lang w:val="sr-Cyrl-CS"/>
        </w:rPr>
        <w:t xml:space="preserve">немају </w:t>
      </w:r>
      <w:r w:rsidR="00341C00">
        <w:rPr>
          <w:sz w:val="23"/>
          <w:szCs w:val="23"/>
          <w:lang w:val="sr-Cyrl-CS"/>
        </w:rPr>
        <w:t xml:space="preserve"> законска </w:t>
      </w:r>
      <w:r w:rsidR="00357005">
        <w:rPr>
          <w:sz w:val="23"/>
          <w:szCs w:val="23"/>
          <w:lang w:val="sr-Cyrl-CS"/>
        </w:rPr>
        <w:t xml:space="preserve">овлашћења </w:t>
      </w:r>
      <w:r w:rsidR="00426941">
        <w:rPr>
          <w:sz w:val="23"/>
          <w:szCs w:val="23"/>
          <w:lang w:val="sr-Cyrl-CS"/>
        </w:rPr>
        <w:t xml:space="preserve"> да </w:t>
      </w:r>
      <w:r w:rsidR="00357005">
        <w:rPr>
          <w:sz w:val="23"/>
          <w:szCs w:val="23"/>
          <w:lang w:val="sr-Cyrl-CS"/>
        </w:rPr>
        <w:t>обављају</w:t>
      </w:r>
      <w:r w:rsidR="00426941">
        <w:rPr>
          <w:sz w:val="23"/>
          <w:szCs w:val="23"/>
          <w:lang w:val="sr-Cyrl-CS"/>
        </w:rPr>
        <w:t xml:space="preserve"> контролни и инспекцијски надзор у индивидуалним домаћинствима.</w:t>
      </w:r>
    </w:p>
    <w:p w:rsidR="00AD01B3" w:rsidRPr="007D575F" w:rsidRDefault="00AD01B3" w:rsidP="00D477CC">
      <w:pPr>
        <w:autoSpaceDE w:val="0"/>
        <w:autoSpaceDN w:val="0"/>
        <w:adjustRightInd w:val="0"/>
        <w:spacing w:after="240"/>
        <w:jc w:val="both"/>
        <w:rPr>
          <w:rFonts w:ascii="DDAIPI+TimesNewRoman" w:hAnsi="DDAIPI+TimesNewRoman" w:cs="DDAIPI+TimesNewRoman"/>
          <w:sz w:val="23"/>
          <w:szCs w:val="23"/>
          <w:lang w:val="sr-Cyrl-CS"/>
        </w:rPr>
      </w:pPr>
      <w:r w:rsidRPr="007D575F">
        <w:rPr>
          <w:sz w:val="23"/>
          <w:szCs w:val="23"/>
          <w:lang w:val="sr-Cyrl-CS"/>
        </w:rPr>
        <w:t>С обзиром на котлински положај града, правце две значајне државне саобраћајнице које пролазе кроз централно подручје града,</w:t>
      </w:r>
      <w:r w:rsidRPr="007D575F">
        <w:rPr>
          <w:color w:val="000000"/>
          <w:sz w:val="23"/>
          <w:szCs w:val="23"/>
          <w:lang w:val="sr-Cyrl-CS"/>
        </w:rPr>
        <w:t xml:space="preserve"> густу мрежу градских саобраћајница</w:t>
      </w:r>
      <w:r w:rsidRPr="007D575F">
        <w:rPr>
          <w:sz w:val="23"/>
          <w:szCs w:val="23"/>
          <w:lang w:val="sr-Cyrl-CS"/>
        </w:rPr>
        <w:t xml:space="preserve"> и велики обим саобраћаја кроз центар града, саобраћај у Ужицу потенцијално</w:t>
      </w:r>
      <w:r>
        <w:rPr>
          <w:lang w:val="sr-Cyrl-CS"/>
        </w:rPr>
        <w:t xml:space="preserve"> </w:t>
      </w:r>
      <w:r w:rsidRPr="007D575F">
        <w:rPr>
          <w:sz w:val="23"/>
          <w:szCs w:val="23"/>
          <w:lang w:val="sr-Cyrl-CS"/>
        </w:rPr>
        <w:t>представља значајан извор загађења ваздуха</w:t>
      </w:r>
      <w:r w:rsidRPr="007D575F">
        <w:rPr>
          <w:rFonts w:ascii="DDAIPI+TimesNewRoman" w:hAnsi="DDAIPI+TimesNewRoman" w:cs="DDAIPI+TimesNewRoman"/>
          <w:sz w:val="23"/>
          <w:szCs w:val="23"/>
          <w:lang w:val="sr-Cyrl-CS"/>
        </w:rPr>
        <w:t>. Према званичној информацији која је добијена од МУП РС-П</w:t>
      </w:r>
      <w:r w:rsidR="00465BA1">
        <w:rPr>
          <w:rFonts w:ascii="DDAIPI+TimesNewRoman" w:hAnsi="DDAIPI+TimesNewRoman" w:cs="DDAIPI+TimesNewRoman"/>
          <w:sz w:val="23"/>
          <w:szCs w:val="23"/>
          <w:lang w:val="sr-Cyrl-CS"/>
        </w:rPr>
        <w:t>олицијске управе у Ужицу, у 201</w:t>
      </w:r>
      <w:r w:rsidR="00465BA1">
        <w:rPr>
          <w:rFonts w:ascii="DDAIPI+TimesNewRoman" w:hAnsi="DDAIPI+TimesNewRoman" w:cs="DDAIPI+TimesNewRoman"/>
          <w:sz w:val="23"/>
          <w:szCs w:val="23"/>
        </w:rPr>
        <w:t>5</w:t>
      </w:r>
      <w:r w:rsidRPr="007D575F">
        <w:rPr>
          <w:rFonts w:ascii="DDAIPI+TimesNewRoman" w:hAnsi="DDAIPI+TimesNewRoman" w:cs="DDAIPI+TimesNewRoman"/>
          <w:sz w:val="23"/>
          <w:szCs w:val="23"/>
          <w:lang w:val="sr-Cyrl-CS"/>
        </w:rPr>
        <w:t>.години је било регистровано укупно 17.064 возила од чега:</w:t>
      </w:r>
    </w:p>
    <w:p w:rsidR="00AD01B3" w:rsidRDefault="00AD01B3" w:rsidP="00AD01B3">
      <w:pPr>
        <w:autoSpaceDE w:val="0"/>
        <w:autoSpaceDN w:val="0"/>
        <w:adjustRightInd w:val="0"/>
        <w:jc w:val="both"/>
        <w:rPr>
          <w:rFonts w:ascii="Calibri" w:hAnsi="Calibri" w:cs="DDAIPI+TimesNewRoman"/>
          <w:color w:val="000000"/>
          <w:sz w:val="23"/>
          <w:szCs w:val="23"/>
          <w:lang w:val="sr-Cyrl-CS"/>
        </w:rPr>
      </w:pPr>
      <w:r w:rsidRPr="007D575F">
        <w:rPr>
          <w:rFonts w:ascii="DDAIPI+TimesNewRoman" w:hAnsi="DDAIPI+TimesNewRoman" w:cs="DDAIPI+TimesNewRoman"/>
          <w:sz w:val="23"/>
          <w:szCs w:val="23"/>
          <w:lang w:val="sr-Cyrl-CS"/>
        </w:rPr>
        <w:t>-</w:t>
      </w:r>
      <w:r w:rsidRPr="007D575F">
        <w:rPr>
          <w:rFonts w:ascii="DDAIPI+TimesNewRoman" w:hAnsi="DDAIPI+TimesNewRoman" w:cs="DDAIPI+TimesNewRoman"/>
          <w:color w:val="000000"/>
          <w:sz w:val="23"/>
          <w:szCs w:val="23"/>
          <w:lang w:val="sr-Cyrl-CS"/>
        </w:rPr>
        <w:t>са погоном на бензин 2525 возила (14,8%),</w:t>
      </w:r>
    </w:p>
    <w:p w:rsidR="00AD01B3" w:rsidRPr="007D575F" w:rsidRDefault="00AD01B3" w:rsidP="00AD01B3">
      <w:pPr>
        <w:autoSpaceDE w:val="0"/>
        <w:autoSpaceDN w:val="0"/>
        <w:adjustRightInd w:val="0"/>
        <w:jc w:val="both"/>
        <w:rPr>
          <w:rFonts w:ascii="DDAIPI+TimesNewRoman" w:hAnsi="DDAIPI+TimesNewRoman" w:cs="DDAIPI+TimesNewRoman"/>
          <w:color w:val="000000"/>
          <w:sz w:val="23"/>
          <w:szCs w:val="23"/>
          <w:lang w:val="sr-Cyrl-CS"/>
        </w:rPr>
      </w:pPr>
      <w:r w:rsidRPr="007D575F">
        <w:rPr>
          <w:rFonts w:ascii="DDAIPI+TimesNewRoman" w:hAnsi="DDAIPI+TimesNewRoman" w:cs="DDAIPI+TimesNewRoman"/>
          <w:color w:val="000000"/>
          <w:sz w:val="23"/>
          <w:szCs w:val="23"/>
          <w:lang w:val="sr-Cyrl-CS"/>
        </w:rPr>
        <w:t>-са погоном на ТНГ 4092 возила (24,0%),</w:t>
      </w:r>
    </w:p>
    <w:p w:rsidR="00AD01B3" w:rsidRPr="007D575F" w:rsidRDefault="00AD01B3" w:rsidP="00AD01B3">
      <w:pPr>
        <w:autoSpaceDE w:val="0"/>
        <w:autoSpaceDN w:val="0"/>
        <w:adjustRightInd w:val="0"/>
        <w:jc w:val="both"/>
        <w:rPr>
          <w:rFonts w:ascii="DDAIPI+TimesNewRoman" w:hAnsi="DDAIPI+TimesNewRoman" w:cs="DDAIPI+TimesNewRoman"/>
          <w:color w:val="000000"/>
          <w:sz w:val="23"/>
          <w:szCs w:val="23"/>
          <w:lang w:val="sr-Cyrl-CS"/>
        </w:rPr>
      </w:pPr>
      <w:r w:rsidRPr="007D575F">
        <w:rPr>
          <w:rFonts w:ascii="DDAIPI+TimesNewRoman" w:hAnsi="DDAIPI+TimesNewRoman" w:cs="DDAIPI+TimesNewRoman"/>
          <w:color w:val="000000"/>
          <w:sz w:val="23"/>
          <w:szCs w:val="23"/>
          <w:lang w:val="sr-Cyrl-CS"/>
        </w:rPr>
        <w:t>-са погоном на еуро дизел  6923 возила (40,5%) и</w:t>
      </w:r>
    </w:p>
    <w:p w:rsidR="00AD01B3" w:rsidRPr="007D575F" w:rsidRDefault="00AD01B3" w:rsidP="00AD01B3">
      <w:pPr>
        <w:autoSpaceDE w:val="0"/>
        <w:autoSpaceDN w:val="0"/>
        <w:adjustRightInd w:val="0"/>
        <w:jc w:val="both"/>
        <w:rPr>
          <w:rFonts w:ascii="DDAIPI+TimesNewRoman" w:hAnsi="DDAIPI+TimesNewRoman" w:cs="DDAIPI+TimesNewRoman"/>
          <w:color w:val="000000"/>
          <w:sz w:val="23"/>
          <w:szCs w:val="23"/>
          <w:lang w:val="sr-Cyrl-CS"/>
        </w:rPr>
      </w:pPr>
      <w:r w:rsidRPr="007D575F">
        <w:rPr>
          <w:rFonts w:ascii="DDAIPI+TimesNewRoman" w:hAnsi="DDAIPI+TimesNewRoman" w:cs="DDAIPI+TimesNewRoman"/>
          <w:color w:val="000000"/>
          <w:sz w:val="23"/>
          <w:szCs w:val="23"/>
          <w:lang w:val="sr-Cyrl-CS"/>
        </w:rPr>
        <w:t>-са погоном на дизел 3524 возила (20,6%),</w:t>
      </w:r>
    </w:p>
    <w:p w:rsidR="00AD01B3" w:rsidRPr="007D575F" w:rsidRDefault="00AD01B3" w:rsidP="00AD01B3">
      <w:pPr>
        <w:autoSpaceDE w:val="0"/>
        <w:autoSpaceDN w:val="0"/>
        <w:adjustRightInd w:val="0"/>
        <w:jc w:val="both"/>
        <w:rPr>
          <w:rFonts w:ascii="DDAIPI+TimesNewRoman" w:hAnsi="DDAIPI+TimesNewRoman" w:cs="DDAIPI+TimesNewRoman"/>
          <w:sz w:val="23"/>
          <w:szCs w:val="23"/>
          <w:lang w:val="sr-Cyrl-CS"/>
        </w:rPr>
      </w:pPr>
      <w:r w:rsidRPr="007D575F">
        <w:rPr>
          <w:color w:val="000000"/>
          <w:sz w:val="23"/>
          <w:szCs w:val="23"/>
          <w:lang w:val="sr-Cyrl-CS"/>
        </w:rPr>
        <w:t>Просечна старост аутомобила у Ужицу је 15 година</w:t>
      </w:r>
      <w:r w:rsidRPr="007D575F">
        <w:rPr>
          <w:rFonts w:ascii="DDAIPI+TimesNewRoman" w:hAnsi="DDAIPI+TimesNewRoman" w:cs="DDAIPI+TimesNewRoman"/>
          <w:color w:val="000000"/>
          <w:sz w:val="23"/>
          <w:szCs w:val="23"/>
          <w:lang w:val="sr-Cyrl-CS"/>
        </w:rPr>
        <w:t>.</w:t>
      </w:r>
      <w:r w:rsidRPr="007D575F">
        <w:rPr>
          <w:rFonts w:ascii="DDAIPI+TimesNewRoman" w:hAnsi="DDAIPI+TimesNewRoman" w:cs="DDAIPI+TimesNewRoman"/>
          <w:sz w:val="23"/>
          <w:szCs w:val="23"/>
          <w:lang w:val="sr-Cyrl-CS"/>
        </w:rPr>
        <w:t xml:space="preserve"> </w:t>
      </w:r>
    </w:p>
    <w:p w:rsidR="00AD01B3" w:rsidRPr="007D575F" w:rsidRDefault="00AD01B3" w:rsidP="00AD01B3">
      <w:pPr>
        <w:autoSpaceDE w:val="0"/>
        <w:autoSpaceDN w:val="0"/>
        <w:adjustRightInd w:val="0"/>
        <w:jc w:val="both"/>
        <w:rPr>
          <w:rFonts w:ascii="DDAIPI+TimesNewRoman" w:hAnsi="DDAIPI+TimesNewRoman" w:cs="DDAIPI+TimesNewRoman"/>
          <w:sz w:val="23"/>
          <w:szCs w:val="23"/>
          <w:lang w:val="sr-Cyrl-CS"/>
        </w:rPr>
      </w:pPr>
    </w:p>
    <w:p w:rsidR="00AD01B3" w:rsidRDefault="00AD01B3" w:rsidP="00AD01B3">
      <w:pPr>
        <w:autoSpaceDE w:val="0"/>
        <w:autoSpaceDN w:val="0"/>
        <w:adjustRightInd w:val="0"/>
        <w:jc w:val="both"/>
        <w:rPr>
          <w:rFonts w:cs="DDAIPI+TimesNewRoman"/>
          <w:color w:val="000000"/>
          <w:sz w:val="23"/>
          <w:szCs w:val="23"/>
          <w:lang w:val="sr-Cyrl-CS"/>
        </w:rPr>
      </w:pPr>
    </w:p>
    <w:p w:rsidR="00D477CC" w:rsidRDefault="00D477CC" w:rsidP="00AD01B3">
      <w:pPr>
        <w:autoSpaceDE w:val="0"/>
        <w:autoSpaceDN w:val="0"/>
        <w:adjustRightInd w:val="0"/>
        <w:jc w:val="both"/>
        <w:rPr>
          <w:rFonts w:cs="DDAIPI+TimesNewRoman"/>
          <w:color w:val="000000"/>
          <w:sz w:val="23"/>
          <w:szCs w:val="23"/>
          <w:lang w:val="sr-Cyrl-CS"/>
        </w:rPr>
      </w:pPr>
    </w:p>
    <w:p w:rsidR="00D477CC" w:rsidRPr="007D575F" w:rsidRDefault="00D477CC" w:rsidP="00AD01B3">
      <w:pPr>
        <w:autoSpaceDE w:val="0"/>
        <w:autoSpaceDN w:val="0"/>
        <w:adjustRightInd w:val="0"/>
        <w:jc w:val="both"/>
        <w:rPr>
          <w:rFonts w:cs="DDAIPI+TimesNewRoman"/>
          <w:color w:val="000000"/>
          <w:sz w:val="23"/>
          <w:szCs w:val="23"/>
          <w:lang w:val="sr-Cyrl-CS"/>
        </w:rPr>
      </w:pPr>
    </w:p>
    <w:p w:rsidR="003D4B9C" w:rsidRPr="003D4B9C" w:rsidRDefault="003D4B9C" w:rsidP="003D4B9C">
      <w:pPr>
        <w:jc w:val="both"/>
        <w:rPr>
          <w:b/>
          <w:sz w:val="23"/>
          <w:szCs w:val="23"/>
        </w:rPr>
      </w:pPr>
      <w:r w:rsidRPr="003D4B9C">
        <w:rPr>
          <w:b/>
          <w:sz w:val="23"/>
          <w:szCs w:val="23"/>
        </w:rPr>
        <w:t>4. АНАЛИЗА СИТУАЦИЈЕ И ФАКТОРА КОЈИ СУ УТИЦАЛИ НА ПОЈАВУ ПРЕКОРАЧЕЊА</w:t>
      </w:r>
    </w:p>
    <w:p w:rsidR="003D4B9C" w:rsidRPr="003D4B9C" w:rsidRDefault="003D4B9C" w:rsidP="003D4B9C">
      <w:pPr>
        <w:jc w:val="both"/>
        <w:rPr>
          <w:b/>
          <w:sz w:val="23"/>
          <w:szCs w:val="23"/>
          <w:lang w:val="sr-Cyrl-CS"/>
        </w:rPr>
      </w:pPr>
    </w:p>
    <w:p w:rsidR="003D4B9C" w:rsidRPr="003D4B9C" w:rsidRDefault="003D4B9C" w:rsidP="003D4B9C">
      <w:pPr>
        <w:jc w:val="both"/>
        <w:rPr>
          <w:sz w:val="23"/>
          <w:szCs w:val="23"/>
          <w:lang w:val="sr-Cyrl-CS"/>
        </w:rPr>
      </w:pPr>
      <w:r w:rsidRPr="003D4B9C">
        <w:rPr>
          <w:sz w:val="23"/>
          <w:szCs w:val="23"/>
          <w:lang w:val="sr-Cyrl-CS"/>
        </w:rPr>
        <w:t xml:space="preserve">Ужице је смештено у котлини реке Ђетиње и изнад ње се дижу обронци Јелове Горе, узвишења Капетановина, Татинац и Пора, чија је надморска висина 500 </w:t>
      </w:r>
      <w:r w:rsidRPr="003D4B9C">
        <w:rPr>
          <w:sz w:val="23"/>
          <w:szCs w:val="23"/>
        </w:rPr>
        <w:t>m</w:t>
      </w:r>
      <w:r w:rsidRPr="003D4B9C">
        <w:rPr>
          <w:sz w:val="23"/>
          <w:szCs w:val="23"/>
          <w:lang w:val="sr-Cyrl-CS"/>
        </w:rPr>
        <w:t xml:space="preserve"> и више (дно ужичк</w:t>
      </w:r>
      <w:r w:rsidRPr="003D4B9C">
        <w:rPr>
          <w:sz w:val="23"/>
          <w:szCs w:val="23"/>
        </w:rPr>
        <w:t>e</w:t>
      </w:r>
      <w:r w:rsidRPr="003D4B9C">
        <w:rPr>
          <w:sz w:val="23"/>
          <w:szCs w:val="23"/>
          <w:lang w:val="sr-Cyrl-CS"/>
        </w:rPr>
        <w:t xml:space="preserve"> котлине лежи на 411 </w:t>
      </w:r>
      <w:r w:rsidRPr="003D4B9C">
        <w:rPr>
          <w:sz w:val="23"/>
          <w:szCs w:val="23"/>
        </w:rPr>
        <w:t>m</w:t>
      </w:r>
      <w:r w:rsidRPr="003D4B9C">
        <w:rPr>
          <w:sz w:val="23"/>
          <w:szCs w:val="23"/>
          <w:lang w:val="sr-Cyrl-CS"/>
        </w:rPr>
        <w:t xml:space="preserve"> н.в. код градске плаже, односно 403 </w:t>
      </w:r>
      <w:r w:rsidRPr="003D4B9C">
        <w:rPr>
          <w:sz w:val="23"/>
          <w:szCs w:val="23"/>
        </w:rPr>
        <w:t>m</w:t>
      </w:r>
      <w:r w:rsidRPr="003D4B9C">
        <w:rPr>
          <w:sz w:val="23"/>
          <w:szCs w:val="23"/>
          <w:lang w:val="sr-Cyrl-CS"/>
        </w:rPr>
        <w:t xml:space="preserve"> н.в. на Ђетињи код Аде у Крчагову). Изнад јужног руба котлине, са десне обале Ђетиње, диже се веома стрм масив Забучја, са врховима преко 700 </w:t>
      </w:r>
      <w:r w:rsidRPr="003D4B9C">
        <w:rPr>
          <w:sz w:val="23"/>
          <w:szCs w:val="23"/>
        </w:rPr>
        <w:t>m</w:t>
      </w:r>
      <w:r w:rsidRPr="003D4B9C">
        <w:rPr>
          <w:sz w:val="23"/>
          <w:szCs w:val="23"/>
          <w:lang w:val="sr-Cyrl-CS"/>
        </w:rPr>
        <w:t xml:space="preserve"> н.в. Према томе, дно ужичке котлине је на северној страни 100 </w:t>
      </w:r>
      <w:r w:rsidRPr="003D4B9C">
        <w:rPr>
          <w:sz w:val="23"/>
          <w:szCs w:val="23"/>
        </w:rPr>
        <w:t>m</w:t>
      </w:r>
      <w:r w:rsidRPr="003D4B9C">
        <w:rPr>
          <w:sz w:val="23"/>
          <w:szCs w:val="23"/>
          <w:lang w:val="sr-Cyrl-CS"/>
        </w:rPr>
        <w:t xml:space="preserve"> ниже од своје околине, а на јужној страни 300 </w:t>
      </w:r>
      <w:r w:rsidRPr="003D4B9C">
        <w:rPr>
          <w:sz w:val="23"/>
          <w:szCs w:val="23"/>
        </w:rPr>
        <w:t>m</w:t>
      </w:r>
      <w:r w:rsidRPr="003D4B9C">
        <w:rPr>
          <w:sz w:val="23"/>
          <w:szCs w:val="23"/>
          <w:lang w:val="sr-Cyrl-CS"/>
        </w:rPr>
        <w:t xml:space="preserve">. Исток - запад оријентисане котлине имају само један нагиб који се значајно загрева и то је јужно оријентисана страна обронка Јелове Горе. </w:t>
      </w:r>
    </w:p>
    <w:p w:rsidR="003D4B9C" w:rsidRPr="003D4B9C" w:rsidRDefault="003D4B9C" w:rsidP="003D4B9C">
      <w:pPr>
        <w:jc w:val="both"/>
        <w:rPr>
          <w:sz w:val="23"/>
          <w:szCs w:val="23"/>
          <w:lang w:val="sr-Cyrl-CS"/>
        </w:rPr>
      </w:pPr>
      <w:r w:rsidRPr="003D4B9C">
        <w:rPr>
          <w:sz w:val="23"/>
          <w:szCs w:val="23"/>
          <w:lang w:val="sr-Cyrl-CS"/>
        </w:rPr>
        <w:t>Оваква конфигурација терена значајно утиче на стварање локалних система ве</w:t>
      </w:r>
      <w:r w:rsidRPr="003D4B9C">
        <w:rPr>
          <w:sz w:val="23"/>
          <w:szCs w:val="23"/>
          <w:lang w:val="sr-Cyrl-CS"/>
        </w:rPr>
        <w:softHyphen/>
        <w:t>трова, поготово када су регионални ветрови слабог интензитета, што је најчешћи случај, с обзиром на ружу ветрова. Јужно оријентисане падине, које су осунчане то</w:t>
      </w:r>
      <w:r w:rsidRPr="003D4B9C">
        <w:rPr>
          <w:sz w:val="23"/>
          <w:szCs w:val="23"/>
          <w:lang w:val="sr-Cyrl-CS"/>
        </w:rPr>
        <w:softHyphen/>
        <w:t>ком дана, увече емитују акумулирану топлоту и подстичу циркулацију топлог ваз</w:t>
      </w:r>
      <w:r w:rsidRPr="003D4B9C">
        <w:rPr>
          <w:sz w:val="23"/>
          <w:szCs w:val="23"/>
          <w:lang w:val="sr-Cyrl-CS"/>
        </w:rPr>
        <w:softHyphen/>
        <w:t xml:space="preserve">духа уз падине и улазак хладнијег ваздуха у центар котлине. Ветрови из правца истока и запада проветравају котлину, док ветрови са севера стварају стационарне вртлоге, који онемогућавају њено проветравање. У ноћима без ветра, стварају се услови за екстремну стагнацију. Зими се стварају услови за </w:t>
      </w:r>
      <w:r w:rsidRPr="00705214">
        <w:rPr>
          <w:b/>
          <w:sz w:val="23"/>
          <w:szCs w:val="23"/>
          <w:lang w:val="sr-Cyrl-CS"/>
        </w:rPr>
        <w:t>температурне инверзије</w:t>
      </w:r>
      <w:r w:rsidRPr="003D4B9C">
        <w:rPr>
          <w:sz w:val="23"/>
          <w:szCs w:val="23"/>
          <w:lang w:val="sr-Cyrl-CS"/>
        </w:rPr>
        <w:t>, где хладан</w:t>
      </w:r>
      <w:r w:rsidRPr="003D4B9C">
        <w:rPr>
          <w:sz w:val="23"/>
          <w:szCs w:val="23"/>
        </w:rPr>
        <w:t xml:space="preserve"> </w:t>
      </w:r>
      <w:r w:rsidRPr="003D4B9C">
        <w:rPr>
          <w:sz w:val="23"/>
          <w:szCs w:val="23"/>
          <w:lang w:val="sr-Cyrl-CS"/>
        </w:rPr>
        <w:t xml:space="preserve">ваздух пада на дно котлине, а изнад њега се налази фронт топлијег ваздуха. </w:t>
      </w:r>
    </w:p>
    <w:p w:rsidR="003D4B9C" w:rsidRPr="003D4B9C" w:rsidRDefault="003D4B9C" w:rsidP="003D4B9C">
      <w:pPr>
        <w:jc w:val="both"/>
        <w:rPr>
          <w:sz w:val="23"/>
          <w:szCs w:val="23"/>
        </w:rPr>
      </w:pPr>
      <w:r w:rsidRPr="003D4B9C">
        <w:rPr>
          <w:sz w:val="23"/>
          <w:szCs w:val="23"/>
          <w:lang w:val="sr-Cyrl-CS"/>
        </w:rPr>
        <w:t xml:space="preserve">Таквом температурном инверзијом онемогућена је вертикална циркулација ваздуха, па се сви емитовани загађивачи нагомилавају у доњем слоју. Суспендоване честице, чађ и сумпор диоксид зими стварају смог који, чак и када је сунчано, рефлектује светлост, чиме спречава загревање доњих слојева ваздуха и њихово издизање из котлине. Ноћу се ваздух додатно хлади, тако да хладан заробљени ваздух остаје у котлини. Тада се дешавају епизоде високог загађења, које су карактеристичне за грејну сезону у Ужицу. Највише дана са температурном инверзијом бележи се у децембру и јануару. Услед климатских промена које су изражене у читавом свету, број дана са температурном инверзијм се значајно увећао, то се нарочито види у последње две године. Анализом резултата долазимо до закључка да и поред примене низа мера за смањење загађења, темпераурна инверзија </w:t>
      </w:r>
      <w:r w:rsidR="00025549">
        <w:rPr>
          <w:sz w:val="23"/>
          <w:szCs w:val="23"/>
          <w:lang w:val="sr-Cyrl-CS"/>
        </w:rPr>
        <w:t xml:space="preserve">у великом проценту </w:t>
      </w:r>
      <w:r w:rsidRPr="003D4B9C">
        <w:rPr>
          <w:sz w:val="23"/>
          <w:szCs w:val="23"/>
          <w:lang w:val="sr-Cyrl-CS"/>
        </w:rPr>
        <w:t xml:space="preserve">потире спроведене мере.    </w:t>
      </w:r>
    </w:p>
    <w:p w:rsidR="003D4B9C" w:rsidRPr="003D4B9C" w:rsidRDefault="003D4B9C" w:rsidP="003D4B9C">
      <w:pPr>
        <w:jc w:val="both"/>
        <w:rPr>
          <w:sz w:val="23"/>
          <w:szCs w:val="23"/>
        </w:rPr>
      </w:pPr>
      <w:r w:rsidRPr="003D4B9C">
        <w:rPr>
          <w:sz w:val="23"/>
          <w:szCs w:val="23"/>
        </w:rPr>
        <w:t xml:space="preserve">Архитектура Ужица, са карактеристичним високим зградама, има свој утицај на циркулацију ваздуха, па самим тим и на транспорт и концентрацију загађивача. Такве структуре представљају препреке струјању ваздуха, стварајући на супротној страни кавитације, у којима је ваздух заробљен у дужини пропорционалној висини зграде. </w:t>
      </w:r>
      <w:r w:rsidR="00025549">
        <w:rPr>
          <w:sz w:val="23"/>
          <w:szCs w:val="23"/>
        </w:rPr>
        <w:t>У</w:t>
      </w:r>
      <w:r w:rsidRPr="003D4B9C">
        <w:rPr>
          <w:sz w:val="23"/>
          <w:szCs w:val="23"/>
        </w:rPr>
        <w:t xml:space="preserve">звишења </w:t>
      </w:r>
      <w:r w:rsidR="00025549">
        <w:rPr>
          <w:sz w:val="23"/>
          <w:szCs w:val="23"/>
        </w:rPr>
        <w:t xml:space="preserve">над градом </w:t>
      </w:r>
      <w:r w:rsidRPr="003D4B9C">
        <w:rPr>
          <w:sz w:val="23"/>
          <w:szCs w:val="23"/>
        </w:rPr>
        <w:t xml:space="preserve">такође представљају препреке струјању ваздуха. </w:t>
      </w:r>
    </w:p>
    <w:p w:rsidR="003D4B9C" w:rsidRPr="003D4B9C" w:rsidRDefault="003D4B9C" w:rsidP="003D4B9C">
      <w:pPr>
        <w:jc w:val="both"/>
        <w:rPr>
          <w:sz w:val="23"/>
          <w:szCs w:val="23"/>
        </w:rPr>
      </w:pPr>
      <w:r w:rsidRPr="003D4B9C">
        <w:rPr>
          <w:sz w:val="23"/>
          <w:szCs w:val="23"/>
        </w:rPr>
        <w:t xml:space="preserve">Још један ефекат се појављује у централним улицама града, које надвисују високе зграде. То је „ефекат улице кањона“, у којој је отежано проветравање или се у случају струјања нормалног на правац улице стварају вртлози, у којима ваздух рециркулише и држи заробљеним емитоване полутанте.                        </w:t>
      </w:r>
    </w:p>
    <w:p w:rsidR="003D4B9C" w:rsidRPr="003D4B9C" w:rsidRDefault="003D4B9C" w:rsidP="003D4B9C">
      <w:pPr>
        <w:jc w:val="both"/>
        <w:rPr>
          <w:sz w:val="23"/>
          <w:szCs w:val="23"/>
        </w:rPr>
      </w:pPr>
      <w:r w:rsidRPr="003D4B9C">
        <w:rPr>
          <w:sz w:val="23"/>
          <w:szCs w:val="23"/>
        </w:rPr>
        <w:t>Овакве климатске и топографске карактеристике погодују повећању концентрација емитованих полутаната који потичу пре свега од индивидуалних ложишта, система централног гејања и саобраћаја.</w:t>
      </w:r>
    </w:p>
    <w:p w:rsidR="003D4B9C" w:rsidRDefault="003D4B9C" w:rsidP="003D4B9C">
      <w:pPr>
        <w:jc w:val="both"/>
        <w:rPr>
          <w:sz w:val="23"/>
          <w:szCs w:val="23"/>
        </w:rPr>
      </w:pPr>
      <w:r w:rsidRPr="003D4B9C">
        <w:rPr>
          <w:sz w:val="23"/>
          <w:szCs w:val="23"/>
        </w:rPr>
        <w:t>За севојничку</w:t>
      </w:r>
      <w:r w:rsidRPr="003D4B9C">
        <w:rPr>
          <w:sz w:val="23"/>
          <w:szCs w:val="23"/>
          <w:lang w:val="sr-Cyrl-CS"/>
        </w:rPr>
        <w:t xml:space="preserve"> </w:t>
      </w:r>
      <w:r w:rsidRPr="003D4B9C">
        <w:rPr>
          <w:sz w:val="23"/>
          <w:szCs w:val="23"/>
        </w:rPr>
        <w:t>и котлину Крчагов</w:t>
      </w:r>
      <w:r w:rsidRPr="003D4B9C">
        <w:rPr>
          <w:sz w:val="23"/>
          <w:szCs w:val="23"/>
          <w:lang w:val="sr-Cyrl-CS"/>
        </w:rPr>
        <w:t>а</w:t>
      </w:r>
      <w:r w:rsidRPr="003D4B9C">
        <w:rPr>
          <w:sz w:val="23"/>
          <w:szCs w:val="23"/>
        </w:rPr>
        <w:t>, у којима се налазе комплекси металопрерађивачке индустрије, карактеристична је појава густих магли, што такође има за последицу погоршање квалитета ваздуха.</w:t>
      </w:r>
    </w:p>
    <w:p w:rsidR="003D4B9C" w:rsidRDefault="003D4B9C" w:rsidP="003D4B9C">
      <w:pPr>
        <w:jc w:val="both"/>
        <w:rPr>
          <w:sz w:val="23"/>
          <w:szCs w:val="23"/>
          <w:lang w:val="sr-Cyrl-CS"/>
        </w:rPr>
      </w:pPr>
    </w:p>
    <w:p w:rsidR="00D477CC" w:rsidRPr="00D477CC" w:rsidRDefault="00D477CC" w:rsidP="003D4B9C">
      <w:pPr>
        <w:jc w:val="both"/>
        <w:rPr>
          <w:sz w:val="23"/>
          <w:szCs w:val="23"/>
          <w:lang w:val="sr-Cyrl-CS"/>
        </w:rPr>
      </w:pPr>
    </w:p>
    <w:p w:rsidR="00AD01B3" w:rsidRPr="007D575F" w:rsidRDefault="003D4B9C" w:rsidP="003D4B9C">
      <w:pPr>
        <w:jc w:val="both"/>
        <w:rPr>
          <w:b/>
          <w:sz w:val="23"/>
          <w:szCs w:val="23"/>
          <w:lang w:val="sr-Cyrl-CS"/>
        </w:rPr>
      </w:pPr>
      <w:r>
        <w:rPr>
          <w:b/>
          <w:sz w:val="23"/>
          <w:szCs w:val="23"/>
        </w:rPr>
        <w:t xml:space="preserve">5. </w:t>
      </w:r>
      <w:r w:rsidR="00AD01B3" w:rsidRPr="007D575F">
        <w:rPr>
          <w:b/>
          <w:sz w:val="23"/>
          <w:szCs w:val="23"/>
        </w:rPr>
        <w:t>МЕРЕ И АКТИВНОСТИ КОЈЕ СУ ПРЕДУЗЕТЕ У 2015.</w:t>
      </w:r>
      <w:r w:rsidR="00AD01B3">
        <w:rPr>
          <w:b/>
          <w:sz w:val="23"/>
          <w:szCs w:val="23"/>
        </w:rPr>
        <w:t xml:space="preserve"> </w:t>
      </w:r>
      <w:r w:rsidR="00AD01B3">
        <w:rPr>
          <w:b/>
          <w:sz w:val="23"/>
          <w:szCs w:val="23"/>
          <w:lang w:val="sr-Cyrl-CS"/>
        </w:rPr>
        <w:t>и 2016.</w:t>
      </w:r>
      <w:r>
        <w:rPr>
          <w:b/>
          <w:sz w:val="23"/>
          <w:szCs w:val="23"/>
          <w:lang w:val="sr-Cyrl-CS"/>
        </w:rPr>
        <w:t xml:space="preserve"> </w:t>
      </w:r>
      <w:r w:rsidR="00AD01B3" w:rsidRPr="007D575F">
        <w:rPr>
          <w:b/>
          <w:sz w:val="23"/>
          <w:szCs w:val="23"/>
        </w:rPr>
        <w:t>ГОДИНИ  НА СМАЊИВАЊУ АЕРОЗАГАЂЕЊА</w:t>
      </w:r>
    </w:p>
    <w:p w:rsidR="00AD01B3" w:rsidRDefault="00AD01B3" w:rsidP="00AD01B3">
      <w:pPr>
        <w:jc w:val="both"/>
        <w:rPr>
          <w:sz w:val="23"/>
          <w:szCs w:val="23"/>
          <w:lang w:val="sr-Cyrl-CS"/>
        </w:rPr>
      </w:pPr>
    </w:p>
    <w:p w:rsidR="0066631E" w:rsidRDefault="0066631E" w:rsidP="00D477CC">
      <w:pPr>
        <w:jc w:val="both"/>
        <w:rPr>
          <w:sz w:val="23"/>
          <w:szCs w:val="23"/>
        </w:rPr>
      </w:pPr>
      <w:r w:rsidRPr="0066631E">
        <w:rPr>
          <w:sz w:val="23"/>
          <w:szCs w:val="23"/>
        </w:rPr>
        <w:t>Имајући све ово у виду, град Ужице предузима значајне активности како би ваздух у зимском периоду учинио квалитетнијим</w:t>
      </w:r>
      <w:r>
        <w:rPr>
          <w:sz w:val="23"/>
          <w:szCs w:val="23"/>
        </w:rPr>
        <w:t>.</w:t>
      </w:r>
    </w:p>
    <w:p w:rsidR="000713F0" w:rsidRPr="0066631E" w:rsidRDefault="006D36AE" w:rsidP="00D477CC">
      <w:pPr>
        <w:jc w:val="both"/>
        <w:rPr>
          <w:sz w:val="23"/>
          <w:szCs w:val="23"/>
        </w:rPr>
      </w:pPr>
      <w:r w:rsidRPr="0066631E">
        <w:rPr>
          <w:sz w:val="23"/>
          <w:szCs w:val="23"/>
        </w:rPr>
        <w:t>До  2001.године погонско гориво у свим котларницама којима управља ЈКП</w:t>
      </w:r>
      <w:r w:rsidR="0066631E">
        <w:rPr>
          <w:sz w:val="23"/>
          <w:szCs w:val="23"/>
        </w:rPr>
        <w:t xml:space="preserve"> </w:t>
      </w:r>
      <w:r w:rsidRPr="0066631E">
        <w:rPr>
          <w:sz w:val="23"/>
          <w:szCs w:val="23"/>
        </w:rPr>
        <w:t xml:space="preserve">”Градска топлана Ужице” </w:t>
      </w:r>
      <w:r w:rsidR="00BE62B3">
        <w:rPr>
          <w:sz w:val="23"/>
          <w:szCs w:val="23"/>
        </w:rPr>
        <w:t xml:space="preserve">био је угаљ, иза чега започиње дугодишњи процес конверзије са угља на мазут. А од 2010. године </w:t>
      </w:r>
      <w:r w:rsidRPr="0066631E">
        <w:rPr>
          <w:sz w:val="23"/>
          <w:szCs w:val="23"/>
        </w:rPr>
        <w:t>Град и Градска топлана започињу конверзију котларница</w:t>
      </w:r>
      <w:r w:rsidR="00BE62B3">
        <w:rPr>
          <w:sz w:val="23"/>
          <w:szCs w:val="23"/>
        </w:rPr>
        <w:t>,</w:t>
      </w:r>
      <w:r w:rsidRPr="0066631E">
        <w:rPr>
          <w:sz w:val="23"/>
          <w:szCs w:val="23"/>
        </w:rPr>
        <w:t xml:space="preserve"> тако да у њима основно гориво буде природни гас, </w:t>
      </w:r>
      <w:r w:rsidR="00BE62B3">
        <w:rPr>
          <w:sz w:val="23"/>
          <w:szCs w:val="23"/>
        </w:rPr>
        <w:t xml:space="preserve">а као </w:t>
      </w:r>
      <w:r w:rsidRPr="0066631E">
        <w:rPr>
          <w:sz w:val="23"/>
          <w:szCs w:val="23"/>
        </w:rPr>
        <w:t>алтернативно</w:t>
      </w:r>
      <w:r w:rsidR="00BE62B3">
        <w:rPr>
          <w:sz w:val="23"/>
          <w:szCs w:val="23"/>
        </w:rPr>
        <w:t xml:space="preserve"> гориво</w:t>
      </w:r>
      <w:r w:rsidRPr="0066631E">
        <w:rPr>
          <w:sz w:val="23"/>
          <w:szCs w:val="23"/>
        </w:rPr>
        <w:t xml:space="preserve"> </w:t>
      </w:r>
      <w:r w:rsidR="00BE62B3">
        <w:rPr>
          <w:sz w:val="23"/>
          <w:szCs w:val="23"/>
        </w:rPr>
        <w:t xml:space="preserve">користиће се </w:t>
      </w:r>
      <w:r w:rsidRPr="0066631E">
        <w:rPr>
          <w:sz w:val="23"/>
          <w:szCs w:val="23"/>
        </w:rPr>
        <w:t>мазут.</w:t>
      </w:r>
      <w:r w:rsidR="00BE62B3">
        <w:rPr>
          <w:sz w:val="23"/>
          <w:szCs w:val="23"/>
        </w:rPr>
        <w:t xml:space="preserve"> Данас се у само 3 котларнице </w:t>
      </w:r>
      <w:r w:rsidR="00BE62B3" w:rsidRPr="00BE62B3">
        <w:rPr>
          <w:sz w:val="23"/>
          <w:szCs w:val="23"/>
        </w:rPr>
        <w:t xml:space="preserve">Градске топлане </w:t>
      </w:r>
      <w:r w:rsidR="00BE62B3">
        <w:rPr>
          <w:sz w:val="23"/>
          <w:szCs w:val="23"/>
        </w:rPr>
        <w:t>од укупно 13, користи мазут, и то због техничких немогућности конверзије, док су све осталих 8 конвертоване на гас а д</w:t>
      </w:r>
      <w:r w:rsidR="00BE62B3" w:rsidRPr="00BE62B3">
        <w:rPr>
          <w:sz w:val="23"/>
          <w:szCs w:val="23"/>
        </w:rPr>
        <w:t>ве котларнице (Коштица и у Улици Х.Јерковића) које су користиле угаљ, сада користе пелет као енергент.</w:t>
      </w:r>
      <w:r w:rsidR="00BE62B3">
        <w:rPr>
          <w:sz w:val="23"/>
          <w:szCs w:val="23"/>
        </w:rPr>
        <w:t>.</w:t>
      </w:r>
    </w:p>
    <w:p w:rsidR="0066631E" w:rsidRPr="00D477CC" w:rsidRDefault="0066631E" w:rsidP="00D477CC">
      <w:pPr>
        <w:jc w:val="both"/>
        <w:rPr>
          <w:sz w:val="12"/>
          <w:szCs w:val="12"/>
          <w:lang w:val="sr-Cyrl-CS"/>
        </w:rPr>
      </w:pPr>
    </w:p>
    <w:p w:rsidR="00AD01B3" w:rsidRPr="007D575F" w:rsidRDefault="00AD01B3" w:rsidP="00D477CC">
      <w:pPr>
        <w:jc w:val="both"/>
        <w:rPr>
          <w:sz w:val="23"/>
          <w:szCs w:val="23"/>
          <w:lang w:val="sr-Cyrl-CS"/>
        </w:rPr>
      </w:pPr>
      <w:r w:rsidRPr="007D575F">
        <w:rPr>
          <w:sz w:val="23"/>
          <w:szCs w:val="23"/>
          <w:lang w:val="sr-Cyrl-CS"/>
        </w:rPr>
        <w:t xml:space="preserve">Закључно са октобром 2015.године, све основне школе у Ужицу и Севојну су прешле на коришћење природног гаса као енергента, а само у три објекта Предшколске </w:t>
      </w:r>
      <w:r w:rsidRPr="007D575F">
        <w:rPr>
          <w:color w:val="000000"/>
          <w:sz w:val="23"/>
          <w:szCs w:val="23"/>
          <w:lang w:val="sr-Cyrl-CS"/>
        </w:rPr>
        <w:t xml:space="preserve">установе Ужице </w:t>
      </w:r>
      <w:r w:rsidRPr="007D575F">
        <w:rPr>
          <w:sz w:val="23"/>
          <w:szCs w:val="23"/>
          <w:lang w:val="sr-Cyrl-CS"/>
        </w:rPr>
        <w:t>се користи угаљ.</w:t>
      </w:r>
    </w:p>
    <w:p w:rsidR="00AD01B3" w:rsidRPr="00D477CC" w:rsidRDefault="00AD01B3" w:rsidP="00D477CC">
      <w:pPr>
        <w:jc w:val="both"/>
        <w:rPr>
          <w:sz w:val="12"/>
          <w:szCs w:val="12"/>
          <w:lang w:val="sr-Cyrl-CS"/>
        </w:rPr>
      </w:pPr>
    </w:p>
    <w:p w:rsidR="00D477CC" w:rsidRDefault="00AD01B3" w:rsidP="00D477CC">
      <w:pPr>
        <w:jc w:val="both"/>
        <w:rPr>
          <w:sz w:val="23"/>
          <w:szCs w:val="23"/>
          <w:lang w:val="sr-Cyrl-CS"/>
        </w:rPr>
      </w:pPr>
      <w:r w:rsidRPr="007D575F">
        <w:rPr>
          <w:sz w:val="23"/>
          <w:szCs w:val="23"/>
          <w:lang w:val="sr-Cyrl-CS"/>
        </w:rPr>
        <w:t xml:space="preserve">Од већих објеката који имају </w:t>
      </w:r>
      <w:r w:rsidRPr="007D575F">
        <w:rPr>
          <w:color w:val="000000"/>
          <w:sz w:val="23"/>
          <w:szCs w:val="23"/>
          <w:lang w:val="sr-Cyrl-CS"/>
        </w:rPr>
        <w:t>индивидуално</w:t>
      </w:r>
      <w:r w:rsidRPr="007D575F">
        <w:rPr>
          <w:sz w:val="23"/>
          <w:szCs w:val="23"/>
          <w:lang w:val="sr-Cyrl-CS"/>
        </w:rPr>
        <w:t xml:space="preserve"> грејање, у објектима железничке станице у Ужицу и Крчагову и у објекту Војске РС у Ужицу, као енергент се и даље користи угаљ. Такође у Здравственом центру Ужице (Болница и Центар за мајку и дете) и даље се користи мазут као једини енергент.</w:t>
      </w:r>
    </w:p>
    <w:p w:rsidR="00D477CC" w:rsidRPr="00D477CC" w:rsidRDefault="00D477CC" w:rsidP="00D477CC">
      <w:pPr>
        <w:jc w:val="both"/>
        <w:rPr>
          <w:sz w:val="12"/>
          <w:szCs w:val="12"/>
          <w:lang w:val="sr-Cyrl-CS"/>
        </w:rPr>
      </w:pPr>
    </w:p>
    <w:p w:rsidR="00AD01B3" w:rsidRPr="00D477CC" w:rsidRDefault="00AD01B3" w:rsidP="00D477CC">
      <w:pPr>
        <w:jc w:val="both"/>
        <w:rPr>
          <w:sz w:val="23"/>
          <w:szCs w:val="23"/>
          <w:lang w:val="sr-Cyrl-CS"/>
        </w:rPr>
      </w:pPr>
      <w:r w:rsidRPr="0036137B">
        <w:rPr>
          <w:sz w:val="23"/>
          <w:szCs w:val="23"/>
          <w:lang w:val="sr-Cyrl-CS"/>
        </w:rPr>
        <w:t xml:space="preserve">На позив предузећа „Ужице гас“ а.д. упућеног грађанима за учешће у акцији „Ужице-чистији град“ омогућена </w:t>
      </w:r>
      <w:r w:rsidR="0036137B" w:rsidRPr="0036137B">
        <w:rPr>
          <w:sz w:val="23"/>
          <w:szCs w:val="23"/>
          <w:lang w:val="sr-Cyrl-CS"/>
        </w:rPr>
        <w:t xml:space="preserve">је </w:t>
      </w:r>
      <w:r w:rsidRPr="0036137B">
        <w:rPr>
          <w:sz w:val="23"/>
          <w:szCs w:val="23"/>
          <w:lang w:val="sr-Cyrl-CS"/>
        </w:rPr>
        <w:t>смањена цена прикључка за гас за 50 %</w:t>
      </w:r>
      <w:r w:rsidR="0036137B" w:rsidRPr="0036137B">
        <w:rPr>
          <w:sz w:val="23"/>
          <w:szCs w:val="23"/>
          <w:lang w:val="sr-Cyrl-CS"/>
        </w:rPr>
        <w:t xml:space="preserve">. У 2015. години </w:t>
      </w:r>
      <w:r w:rsidRPr="0036137B">
        <w:rPr>
          <w:sz w:val="23"/>
          <w:szCs w:val="23"/>
          <w:lang w:val="sr-Cyrl-CS"/>
        </w:rPr>
        <w:t xml:space="preserve">се пријавило 104 </w:t>
      </w:r>
      <w:r w:rsidR="0036137B" w:rsidRPr="0036137B">
        <w:rPr>
          <w:sz w:val="23"/>
          <w:szCs w:val="23"/>
          <w:lang w:val="sr-Cyrl-CS"/>
        </w:rPr>
        <w:t xml:space="preserve">нова </w:t>
      </w:r>
      <w:r w:rsidRPr="0036137B">
        <w:rPr>
          <w:sz w:val="23"/>
          <w:szCs w:val="23"/>
          <w:lang w:val="sr-Cyrl-CS"/>
        </w:rPr>
        <w:t>корисника,</w:t>
      </w:r>
      <w:r w:rsidR="0036137B" w:rsidRPr="0036137B">
        <w:rPr>
          <w:sz w:val="23"/>
          <w:szCs w:val="23"/>
          <w:lang w:val="sr-Cyrl-CS"/>
        </w:rPr>
        <w:t xml:space="preserve"> а у 2016. години, 202 корисника</w:t>
      </w:r>
      <w:r w:rsidRPr="0036137B">
        <w:rPr>
          <w:sz w:val="23"/>
          <w:szCs w:val="23"/>
          <w:lang w:val="sr-Cyrl-CS"/>
        </w:rPr>
        <w:t xml:space="preserve"> тако да сада у Ужицу природни гас као енергент користи </w:t>
      </w:r>
      <w:r w:rsidR="0036137B" w:rsidRPr="0036137B">
        <w:rPr>
          <w:sz w:val="23"/>
          <w:szCs w:val="23"/>
          <w:lang w:val="sr-Cyrl-CS"/>
        </w:rPr>
        <w:t>6</w:t>
      </w:r>
      <w:r w:rsidRPr="0036137B">
        <w:rPr>
          <w:sz w:val="23"/>
          <w:szCs w:val="23"/>
          <w:lang w:val="sr-Cyrl-CS"/>
        </w:rPr>
        <w:t>50 домаћинстава.</w:t>
      </w:r>
      <w:r w:rsidR="0036137B" w:rsidRPr="0036137B">
        <w:rPr>
          <w:sz w:val="23"/>
          <w:szCs w:val="23"/>
          <w:lang w:val="sr-Cyrl-CS"/>
        </w:rPr>
        <w:t xml:space="preserve"> </w:t>
      </w:r>
    </w:p>
    <w:p w:rsidR="00E62BC5" w:rsidRPr="003D4B9C" w:rsidRDefault="00E62BC5" w:rsidP="00D477CC">
      <w:pPr>
        <w:ind w:right="4"/>
        <w:jc w:val="both"/>
        <w:rPr>
          <w:sz w:val="23"/>
          <w:szCs w:val="23"/>
          <w:lang w:val="sr-Cyrl-CS"/>
        </w:rPr>
      </w:pPr>
      <w:r w:rsidRPr="003D4B9C">
        <w:rPr>
          <w:sz w:val="23"/>
          <w:szCs w:val="23"/>
          <w:lang w:val="sr-Cyrl-CS"/>
        </w:rPr>
        <w:t>Град Ужице је  у 2015. и  2016.години реализовао пројекат унапређења енергетске ефикасности на породичним кућама у граду Ужицу. Циљ пројекта био је смањење штетних емисија, односно смањење загађивања ваздуха у зимском периоду кроз уштеде у енергентима који ће се остварити бољом изолацијом стамбених објеката и коришћењем еколошких горива, уштедама и рационалном коришћењу енергије за грејање у објектима физичких лица. У 2015. за ове намене издвојено је 4.000.000,00 динара и 30 корисника користило је ова средства  за замену столарије и термичку изолацију.   У 2016.години издвојио 8.000.000,00 динара, а сами грађани су уложили 12.338.574,00 динара. Средства су додељена за 78 корисника (31 објекат са термичком изолацијом, 34 објекта за замену столарије, 8 котлова на гас и 5 котлова на пелет)</w:t>
      </w:r>
      <w:r w:rsidR="003D4B9C">
        <w:rPr>
          <w:sz w:val="23"/>
          <w:szCs w:val="23"/>
          <w:lang w:val="sr-Cyrl-CS"/>
        </w:rPr>
        <w:t>.</w:t>
      </w:r>
      <w:r w:rsidR="00341C00">
        <w:rPr>
          <w:sz w:val="23"/>
          <w:szCs w:val="23"/>
          <w:lang w:val="sr-Cyrl-CS"/>
        </w:rPr>
        <w:t xml:space="preserve"> Средства намењена унапређењу енергетске ефикасности планирана су и у беџету за 2017.годину у износу од 8 милиона динара.</w:t>
      </w:r>
    </w:p>
    <w:p w:rsidR="00E62BC5" w:rsidRPr="00D477CC" w:rsidRDefault="00E62BC5" w:rsidP="00D477CC">
      <w:pPr>
        <w:jc w:val="both"/>
        <w:rPr>
          <w:sz w:val="12"/>
          <w:szCs w:val="12"/>
          <w:lang w:val="sr-Cyrl-CS"/>
        </w:rPr>
      </w:pPr>
    </w:p>
    <w:p w:rsidR="00E62BC5" w:rsidRDefault="00E62BC5" w:rsidP="00D477CC">
      <w:pPr>
        <w:jc w:val="both"/>
        <w:rPr>
          <w:color w:val="000000"/>
          <w:sz w:val="23"/>
          <w:szCs w:val="23"/>
          <w:lang w:val="sr-Cyrl-CS"/>
        </w:rPr>
      </w:pPr>
      <w:r w:rsidRPr="007D575F">
        <w:rPr>
          <w:color w:val="000000"/>
          <w:sz w:val="23"/>
          <w:szCs w:val="23"/>
          <w:lang w:val="sr-Cyrl-CS"/>
        </w:rPr>
        <w:t>Нема поузданих података, али процењује се да је у 2015.</w:t>
      </w:r>
      <w:r>
        <w:rPr>
          <w:color w:val="000000"/>
          <w:sz w:val="23"/>
          <w:szCs w:val="23"/>
          <w:lang w:val="sr-Cyrl-CS"/>
        </w:rPr>
        <w:t xml:space="preserve"> и 2016.</w:t>
      </w:r>
      <w:r w:rsidRPr="007D575F">
        <w:rPr>
          <w:color w:val="000000"/>
          <w:sz w:val="23"/>
          <w:szCs w:val="23"/>
          <w:lang w:val="sr-Cyrl-CS"/>
        </w:rPr>
        <w:t>години у Ужицу у приградским насељима инсталирано преко 500 ложних уређаја на дрвни пелет у индивидуалним системима грејања.</w:t>
      </w:r>
    </w:p>
    <w:p w:rsidR="00E62BC5" w:rsidRPr="00D477CC" w:rsidRDefault="00E62BC5" w:rsidP="00D477CC">
      <w:pPr>
        <w:jc w:val="both"/>
        <w:rPr>
          <w:sz w:val="12"/>
          <w:szCs w:val="12"/>
        </w:rPr>
      </w:pPr>
    </w:p>
    <w:p w:rsidR="00E62BC5" w:rsidRPr="007D575F" w:rsidRDefault="00E62BC5" w:rsidP="00D477CC">
      <w:pPr>
        <w:jc w:val="both"/>
        <w:rPr>
          <w:color w:val="000000"/>
          <w:sz w:val="23"/>
          <w:szCs w:val="23"/>
        </w:rPr>
      </w:pPr>
      <w:r w:rsidRPr="007D575F">
        <w:rPr>
          <w:color w:val="000000"/>
          <w:sz w:val="23"/>
          <w:szCs w:val="23"/>
        </w:rPr>
        <w:t>Промотери пројекта</w:t>
      </w:r>
      <w:r w:rsidRPr="007D575F">
        <w:rPr>
          <w:color w:val="000000"/>
          <w:sz w:val="23"/>
          <w:szCs w:val="23"/>
          <w:lang w:val="sr-Cyrl-CS"/>
        </w:rPr>
        <w:t xml:space="preserve"> „Ефикасно коришћење огревног дрвета у домаћинствима “ГИЗ Немачка - ДКТИ програм, у</w:t>
      </w:r>
      <w:r w:rsidRPr="007D575F">
        <w:rPr>
          <w:color w:val="000000"/>
          <w:sz w:val="23"/>
          <w:szCs w:val="23"/>
        </w:rPr>
        <w:t xml:space="preserve"> првој половини године су на јавном месту у граду, демонстрирали правилно коришћење огревног дрвета у ложиштима разних произвођача и указали на еколошке и економске предности коришћења сувог дрвета. </w:t>
      </w:r>
    </w:p>
    <w:p w:rsidR="00E62BC5" w:rsidRPr="00D477CC" w:rsidRDefault="00E62BC5" w:rsidP="00D477CC">
      <w:pPr>
        <w:jc w:val="both"/>
        <w:rPr>
          <w:color w:val="000000"/>
          <w:sz w:val="12"/>
          <w:szCs w:val="12"/>
        </w:rPr>
      </w:pPr>
    </w:p>
    <w:p w:rsidR="00E62BC5" w:rsidRDefault="00E62BC5" w:rsidP="00D477CC">
      <w:pPr>
        <w:jc w:val="both"/>
        <w:rPr>
          <w:color w:val="000000"/>
          <w:sz w:val="23"/>
          <w:szCs w:val="23"/>
        </w:rPr>
      </w:pPr>
      <w:r w:rsidRPr="007D575F">
        <w:rPr>
          <w:color w:val="000000"/>
          <w:sz w:val="23"/>
          <w:szCs w:val="23"/>
        </w:rPr>
        <w:t xml:space="preserve">У оквиру ГИЗ-вог пројекта БиоЕн „Промоција одрживе употребе биоенергије у Златиборској области“, од стране пројектног тима реализоване су едукативне радионице за грађане у 3 месне заједнице (Каран, Злакуса, Теразије), на тему ефикасне употребе огревног дрвета у домаћинствима. </w:t>
      </w:r>
    </w:p>
    <w:p w:rsidR="00E62BC5" w:rsidRDefault="00E62BC5" w:rsidP="00D477CC">
      <w:pPr>
        <w:jc w:val="both"/>
        <w:rPr>
          <w:color w:val="000000"/>
          <w:sz w:val="23"/>
          <w:szCs w:val="23"/>
        </w:rPr>
      </w:pPr>
    </w:p>
    <w:p w:rsidR="00E62BC5" w:rsidRPr="007D575F" w:rsidRDefault="00E62BC5" w:rsidP="00D477CC">
      <w:pPr>
        <w:jc w:val="both"/>
        <w:rPr>
          <w:color w:val="000000"/>
          <w:sz w:val="23"/>
          <w:szCs w:val="23"/>
        </w:rPr>
      </w:pPr>
      <w:r w:rsidRPr="007D575F">
        <w:rPr>
          <w:color w:val="000000"/>
          <w:sz w:val="23"/>
          <w:szCs w:val="23"/>
        </w:rPr>
        <w:t>У две средње школе у граду је реализована вишемесечна континуирана едукација на тему одрживе употребе биомасе, с посебним освртом на њено коришћење у енергетске сврхе.</w:t>
      </w:r>
    </w:p>
    <w:p w:rsidR="00E62BC5" w:rsidRPr="00D477CC" w:rsidRDefault="00E62BC5" w:rsidP="00D477CC">
      <w:pPr>
        <w:jc w:val="both"/>
        <w:rPr>
          <w:color w:val="000000"/>
          <w:sz w:val="12"/>
          <w:szCs w:val="12"/>
        </w:rPr>
      </w:pPr>
    </w:p>
    <w:p w:rsidR="00E62BC5" w:rsidRPr="007D575F" w:rsidRDefault="00E62BC5" w:rsidP="00D477CC">
      <w:pPr>
        <w:tabs>
          <w:tab w:val="left" w:pos="993"/>
        </w:tabs>
        <w:jc w:val="both"/>
        <w:rPr>
          <w:rFonts w:eastAsia="Calibri"/>
          <w:bCs/>
          <w:color w:val="000000"/>
          <w:sz w:val="23"/>
          <w:szCs w:val="23"/>
          <w:lang w:val="sr-Cyrl-CS"/>
        </w:rPr>
      </w:pPr>
      <w:r>
        <w:rPr>
          <w:color w:val="000000"/>
          <w:sz w:val="23"/>
          <w:szCs w:val="23"/>
          <w:lang w:val="sr-Cyrl-CS"/>
        </w:rPr>
        <w:t>Усвоје</w:t>
      </w:r>
      <w:r w:rsidR="00EB091F">
        <w:rPr>
          <w:color w:val="000000"/>
          <w:sz w:val="23"/>
          <w:szCs w:val="23"/>
          <w:lang w:val="sr-Cyrl-CS"/>
        </w:rPr>
        <w:t>н</w:t>
      </w:r>
      <w:r>
        <w:rPr>
          <w:color w:val="000000"/>
          <w:sz w:val="23"/>
          <w:szCs w:val="23"/>
          <w:lang w:val="sr-Cyrl-CS"/>
        </w:rPr>
        <w:t xml:space="preserve"> је </w:t>
      </w:r>
      <w:r w:rsidR="00EB091F">
        <w:rPr>
          <w:color w:val="000000"/>
          <w:sz w:val="23"/>
          <w:szCs w:val="23"/>
        </w:rPr>
        <w:t>План</w:t>
      </w:r>
      <w:r w:rsidRPr="007D575F">
        <w:rPr>
          <w:color w:val="000000"/>
          <w:sz w:val="23"/>
          <w:szCs w:val="23"/>
        </w:rPr>
        <w:t xml:space="preserve"> детаљне регулације „Котларница на Међају“ </w:t>
      </w:r>
      <w:r w:rsidRPr="007D575F">
        <w:rPr>
          <w:rFonts w:eastAsia="Calibri"/>
          <w:bCs/>
          <w:color w:val="000000"/>
          <w:sz w:val="23"/>
          <w:szCs w:val="23"/>
          <w:lang w:val="sr-Cyrl-CS"/>
        </w:rPr>
        <w:t>за изградњу топловодне котларнице на природан гас као основно гориво и мазут као алтернативно гориво. Укупни инсталисани капацитет котларнице на природни гас би био cca 36MW, а на мазут cca 30MW.</w:t>
      </w:r>
      <w:r w:rsidR="00380149">
        <w:rPr>
          <w:rFonts w:eastAsia="Calibri"/>
          <w:bCs/>
          <w:color w:val="000000"/>
          <w:sz w:val="23"/>
          <w:szCs w:val="23"/>
          <w:lang w:val="sr-Cyrl-CS"/>
        </w:rPr>
        <w:t xml:space="preserve"> </w:t>
      </w:r>
      <w:r w:rsidRPr="007D575F">
        <w:rPr>
          <w:rFonts w:eastAsia="Calibri"/>
          <w:bCs/>
          <w:color w:val="000000"/>
          <w:sz w:val="23"/>
          <w:szCs w:val="23"/>
          <w:lang w:val="sr-Cyrl-CS"/>
        </w:rPr>
        <w:t>Топлотном енергијом, из ове котларнице, би се снабдевали постојећи потрошачи који се топлотом снабдевају из котларница: "Блок Златибор" (14МW), "Хотел Златибор" (3 MW) и "Југ Богданова" (1,2МW). Преостали расположиви капацитет нове котларнице би се користио за прикључење нових корисника.</w:t>
      </w:r>
    </w:p>
    <w:p w:rsidR="00E62BC5" w:rsidRPr="007D575F" w:rsidRDefault="00E62BC5" w:rsidP="00D477CC">
      <w:pPr>
        <w:autoSpaceDE w:val="0"/>
        <w:autoSpaceDN w:val="0"/>
        <w:adjustRightInd w:val="0"/>
        <w:jc w:val="both"/>
        <w:rPr>
          <w:rFonts w:eastAsia="Calibri"/>
          <w:bCs/>
          <w:color w:val="000000"/>
          <w:sz w:val="23"/>
          <w:szCs w:val="23"/>
          <w:lang w:val="sr-Cyrl-CS"/>
        </w:rPr>
      </w:pPr>
      <w:r w:rsidRPr="007D575F">
        <w:rPr>
          <w:rFonts w:eastAsia="Calibri"/>
          <w:bCs/>
          <w:color w:val="000000"/>
          <w:sz w:val="23"/>
          <w:szCs w:val="23"/>
          <w:lang w:val="sr-Cyrl-CS"/>
        </w:rPr>
        <w:t>Такође, након пуштања у погон нове котларнице "Међај", стекли би се услови за укидање котларница: "Аутобуска станица", "Железничка станица", "Пошта 31102", "Позориште", "Телеком", "Дом здравља" и "Дом за мајку и дете". Простори који се греју из ових котларница би били прикључени на систем даљинског грејања.</w:t>
      </w:r>
    </w:p>
    <w:p w:rsidR="00E62BC5" w:rsidRPr="00D477CC" w:rsidRDefault="00E62BC5" w:rsidP="00D477CC">
      <w:pPr>
        <w:jc w:val="both"/>
        <w:rPr>
          <w:color w:val="000000"/>
          <w:sz w:val="12"/>
          <w:szCs w:val="12"/>
          <w:lang w:val="sr-Cyrl-CS"/>
        </w:rPr>
      </w:pPr>
    </w:p>
    <w:p w:rsidR="0036137B" w:rsidRDefault="00E62BC5" w:rsidP="00D477CC">
      <w:pPr>
        <w:jc w:val="both"/>
      </w:pPr>
      <w:r w:rsidRPr="0036137B">
        <w:rPr>
          <w:color w:val="000000"/>
          <w:sz w:val="23"/>
          <w:szCs w:val="23"/>
          <w:lang w:val="sr-Cyrl-CS"/>
        </w:rPr>
        <w:t xml:space="preserve">На </w:t>
      </w:r>
      <w:r w:rsidR="00F455C3">
        <w:rPr>
          <w:color w:val="000000"/>
          <w:sz w:val="23"/>
          <w:szCs w:val="23"/>
          <w:lang w:val="sr-Cyrl-CS"/>
        </w:rPr>
        <w:t>предлог</w:t>
      </w:r>
      <w:r w:rsidRPr="0036137B">
        <w:rPr>
          <w:color w:val="000000"/>
          <w:sz w:val="23"/>
          <w:szCs w:val="23"/>
          <w:lang w:val="sr-Cyrl-CS"/>
        </w:rPr>
        <w:t xml:space="preserve"> Зеленог савета</w:t>
      </w:r>
      <w:r w:rsidR="00EB091F" w:rsidRPr="0036137B">
        <w:rPr>
          <w:color w:val="000000"/>
          <w:sz w:val="23"/>
          <w:szCs w:val="23"/>
          <w:lang w:val="sr-Cyrl-CS"/>
        </w:rPr>
        <w:t xml:space="preserve">, Градско веће донело је Одлуку о коришћењу гаса као примарног енергента за сезону 2015/2016, као и за сезону 2016/2017. Овом Одлуком </w:t>
      </w:r>
      <w:r w:rsidR="00D059CE" w:rsidRPr="0036137B">
        <w:rPr>
          <w:color w:val="000000"/>
          <w:sz w:val="23"/>
          <w:szCs w:val="23"/>
          <w:lang w:val="sr-Cyrl-CS"/>
        </w:rPr>
        <w:t xml:space="preserve">се </w:t>
      </w:r>
      <w:r w:rsidR="0036137B" w:rsidRPr="0036137B">
        <w:rPr>
          <w:color w:val="000000"/>
          <w:sz w:val="23"/>
          <w:szCs w:val="23"/>
          <w:lang w:val="sr-Cyrl-CS"/>
        </w:rPr>
        <w:t>о</w:t>
      </w:r>
      <w:r w:rsidR="00D059CE" w:rsidRPr="0036137B">
        <w:rPr>
          <w:color w:val="000000"/>
          <w:sz w:val="23"/>
          <w:szCs w:val="23"/>
          <w:lang w:val="sr-Cyrl-CS"/>
        </w:rPr>
        <w:t xml:space="preserve">бавезују </w:t>
      </w:r>
      <w:r w:rsidR="0036137B" w:rsidRPr="0036137B">
        <w:rPr>
          <w:sz w:val="23"/>
          <w:szCs w:val="23"/>
        </w:rPr>
        <w:t>правни субјекти који имају седиште на територији града Ужица, којима је град Ужице оснивач, којима се грејање  плаћа из буџета града Ужица или  којима је град Ужице финансијски помогао да изврше конверзију грејања на природни гас, да су обавезни да  у грејној сезони у периодима повећаног аерозагађења (од 15.</w:t>
      </w:r>
      <w:r w:rsidR="0036137B">
        <w:rPr>
          <w:sz w:val="23"/>
          <w:szCs w:val="23"/>
        </w:rPr>
        <w:t xml:space="preserve"> новембра</w:t>
      </w:r>
      <w:r w:rsidR="0036137B" w:rsidRPr="0036137B">
        <w:rPr>
          <w:sz w:val="23"/>
          <w:szCs w:val="23"/>
        </w:rPr>
        <w:t xml:space="preserve"> године до 15.</w:t>
      </w:r>
      <w:r w:rsidR="0036137B">
        <w:rPr>
          <w:sz w:val="23"/>
          <w:szCs w:val="23"/>
        </w:rPr>
        <w:t xml:space="preserve"> фебруара</w:t>
      </w:r>
      <w:r w:rsidR="0036137B" w:rsidRPr="0036137B">
        <w:rPr>
          <w:sz w:val="23"/>
          <w:szCs w:val="23"/>
        </w:rPr>
        <w:t>) користе за грејање природни гас, осим у случајевима када природни гас није доступан на тржишту.</w:t>
      </w:r>
      <w:r w:rsidR="0036137B">
        <w:t xml:space="preserve"> </w:t>
      </w:r>
    </w:p>
    <w:p w:rsidR="00E62BC5" w:rsidRPr="00D477CC" w:rsidRDefault="00E62BC5" w:rsidP="00D477CC">
      <w:pPr>
        <w:jc w:val="both"/>
        <w:rPr>
          <w:color w:val="000000"/>
          <w:sz w:val="12"/>
          <w:szCs w:val="12"/>
          <w:lang w:val="sr-Cyrl-CS"/>
        </w:rPr>
      </w:pPr>
    </w:p>
    <w:p w:rsidR="00E62BC5" w:rsidRPr="007D575F" w:rsidRDefault="00E62BC5" w:rsidP="00D477CC">
      <w:pPr>
        <w:jc w:val="both"/>
        <w:rPr>
          <w:color w:val="000000"/>
          <w:sz w:val="23"/>
          <w:szCs w:val="23"/>
        </w:rPr>
      </w:pPr>
      <w:r w:rsidRPr="007D575F">
        <w:rPr>
          <w:color w:val="000000"/>
          <w:sz w:val="23"/>
          <w:szCs w:val="23"/>
          <w:lang w:val="sr-Cyrl-CS"/>
        </w:rPr>
        <w:t xml:space="preserve">Надлежна еколошка инспекција града Ужица је реализовала меру контроле ложишта привредних и других правних лица, чије су појединачне снаге преко 50 kW. У грејној </w:t>
      </w:r>
      <w:r w:rsidRPr="007D575F">
        <w:rPr>
          <w:color w:val="000000"/>
          <w:sz w:val="23"/>
          <w:szCs w:val="23"/>
        </w:rPr>
        <w:t>сезони 201</w:t>
      </w:r>
      <w:r w:rsidR="00A97845">
        <w:rPr>
          <w:color w:val="000000"/>
          <w:sz w:val="23"/>
          <w:szCs w:val="23"/>
        </w:rPr>
        <w:t>5</w:t>
      </w:r>
      <w:r w:rsidRPr="007D575F">
        <w:rPr>
          <w:color w:val="000000"/>
          <w:sz w:val="23"/>
          <w:szCs w:val="23"/>
        </w:rPr>
        <w:t>/201</w:t>
      </w:r>
      <w:r w:rsidR="00A97845">
        <w:rPr>
          <w:color w:val="000000"/>
          <w:sz w:val="23"/>
          <w:szCs w:val="23"/>
        </w:rPr>
        <w:t>6</w:t>
      </w:r>
      <w:r w:rsidRPr="007D575F">
        <w:rPr>
          <w:color w:val="000000"/>
          <w:sz w:val="23"/>
          <w:szCs w:val="23"/>
        </w:rPr>
        <w:t xml:space="preserve">. контролисано је 46 ложишта са погоном на угаљ (8), мазут (13), лож уље (4), дрво (7), пелет (3) и природни гас (11). </w:t>
      </w:r>
    </w:p>
    <w:p w:rsidR="00E62BC5" w:rsidRPr="00D477CC" w:rsidRDefault="00E62BC5" w:rsidP="00D477CC">
      <w:pPr>
        <w:jc w:val="both"/>
        <w:rPr>
          <w:color w:val="000000"/>
          <w:sz w:val="12"/>
          <w:szCs w:val="12"/>
        </w:rPr>
      </w:pPr>
    </w:p>
    <w:p w:rsidR="00E62BC5" w:rsidRPr="007D575F" w:rsidRDefault="00E62BC5" w:rsidP="00D477CC">
      <w:pPr>
        <w:jc w:val="both"/>
        <w:rPr>
          <w:color w:val="000000"/>
          <w:sz w:val="23"/>
          <w:szCs w:val="23"/>
        </w:rPr>
      </w:pPr>
      <w:r w:rsidRPr="007D575F">
        <w:rPr>
          <w:color w:val="000000"/>
          <w:sz w:val="23"/>
          <w:szCs w:val="23"/>
        </w:rPr>
        <w:t xml:space="preserve">Прекорачења емисије угљен моноксида су била код котларница на угаљ што је и очекивано с обзиром на врсту енергента. Добро је што је од наведених 8 котларница на угаљ, у 2015.години на две котларнице извршена конверзија на пелет. Према извршеним мерењима, променљив рад, што се тиче емисија загађујућих материја су имале котларнице на мазут, а котларнице са погоном на дрво, лож уље, пелет и природни гас нису имале прекорачења емисије загађујућих материја. </w:t>
      </w:r>
    </w:p>
    <w:p w:rsidR="00E62BC5" w:rsidRPr="00D477CC" w:rsidRDefault="00E62BC5" w:rsidP="00D477CC">
      <w:pPr>
        <w:jc w:val="both"/>
        <w:rPr>
          <w:color w:val="000000"/>
          <w:sz w:val="12"/>
          <w:szCs w:val="12"/>
        </w:rPr>
      </w:pPr>
      <w:r w:rsidRPr="007D575F">
        <w:rPr>
          <w:color w:val="000000"/>
          <w:sz w:val="23"/>
          <w:szCs w:val="23"/>
        </w:rPr>
        <w:t xml:space="preserve">  </w:t>
      </w:r>
    </w:p>
    <w:p w:rsidR="00BE62B3" w:rsidRDefault="00BE62B3" w:rsidP="00D477CC">
      <w:pPr>
        <w:jc w:val="both"/>
        <w:rPr>
          <w:color w:val="000000"/>
          <w:sz w:val="23"/>
          <w:szCs w:val="23"/>
          <w:lang w:val="sr-Cyrl-CS"/>
        </w:rPr>
      </w:pPr>
      <w:r w:rsidRPr="00BE62B3">
        <w:rPr>
          <w:color w:val="000000"/>
          <w:sz w:val="23"/>
          <w:szCs w:val="23"/>
          <w:lang w:val="sr-Cyrl-CS"/>
        </w:rPr>
        <w:t>Током грејне сезоне 2014/2015 2015/2016 године успостављена је ефикаснија сарадња Комуналне полиције и ЈКП“Биоктош“ што је допринело знатном смањењу броја контејнера који горе</w:t>
      </w:r>
      <w:r>
        <w:rPr>
          <w:color w:val="000000"/>
          <w:sz w:val="23"/>
          <w:szCs w:val="23"/>
          <w:lang w:val="sr-Cyrl-CS"/>
        </w:rPr>
        <w:t xml:space="preserve">. </w:t>
      </w:r>
    </w:p>
    <w:p w:rsidR="002F70F5" w:rsidRPr="00D477CC" w:rsidRDefault="002F70F5" w:rsidP="00D477CC">
      <w:pPr>
        <w:jc w:val="both"/>
        <w:rPr>
          <w:color w:val="000000"/>
          <w:sz w:val="12"/>
          <w:szCs w:val="12"/>
          <w:lang w:val="sr-Cyrl-CS"/>
        </w:rPr>
      </w:pPr>
    </w:p>
    <w:p w:rsidR="00E62BC5" w:rsidRDefault="00E62BC5" w:rsidP="00D477CC">
      <w:pPr>
        <w:jc w:val="both"/>
        <w:rPr>
          <w:color w:val="000000"/>
          <w:sz w:val="23"/>
          <w:szCs w:val="23"/>
          <w:lang w:val="sr-Cyrl-CS"/>
        </w:rPr>
      </w:pPr>
      <w:r w:rsidRPr="007D575F">
        <w:rPr>
          <w:color w:val="000000"/>
          <w:sz w:val="23"/>
          <w:szCs w:val="23"/>
          <w:lang w:val="sr-Cyrl-CS"/>
        </w:rPr>
        <w:t>Као ефикасна мера смањења летећег пепела у атмосфери изнад града, пореклом од запаљених контејнера, град Ужице и ЈКП“Биоктош“ дужи низ година током зиме постављају металну бурад за прихват пепела из ложишта. За грејну сезону 2015/2016. Град је набавио 100 нових буради за пепео.</w:t>
      </w:r>
    </w:p>
    <w:p w:rsidR="002F70F5" w:rsidRPr="00D477CC" w:rsidRDefault="002F70F5" w:rsidP="00D477CC">
      <w:pPr>
        <w:jc w:val="both"/>
        <w:rPr>
          <w:color w:val="000000"/>
          <w:sz w:val="12"/>
          <w:szCs w:val="12"/>
          <w:lang w:val="sr-Cyrl-CS"/>
        </w:rPr>
      </w:pPr>
    </w:p>
    <w:p w:rsidR="002F70F5" w:rsidRDefault="002F70F5" w:rsidP="00D477CC">
      <w:pPr>
        <w:jc w:val="both"/>
        <w:rPr>
          <w:color w:val="000000"/>
          <w:sz w:val="23"/>
          <w:szCs w:val="23"/>
          <w:lang w:val="sr-Cyrl-CS"/>
        </w:rPr>
      </w:pPr>
      <w:r>
        <w:rPr>
          <w:color w:val="000000"/>
          <w:sz w:val="23"/>
          <w:szCs w:val="23"/>
          <w:lang w:val="sr-Cyrl-CS"/>
        </w:rPr>
        <w:t xml:space="preserve">У складу са Законским обавезама израђен је и усвојен Краткорочни акциони план заштите ваздуха на који је сагласност дало надлежно Министарство.  Овај План </w:t>
      </w:r>
      <w:r w:rsidR="00602F89">
        <w:rPr>
          <w:color w:val="000000"/>
          <w:sz w:val="23"/>
          <w:szCs w:val="23"/>
          <w:lang w:val="sr-Cyrl-CS"/>
        </w:rPr>
        <w:t xml:space="preserve">садржи </w:t>
      </w:r>
      <w:r>
        <w:rPr>
          <w:color w:val="000000"/>
          <w:sz w:val="23"/>
          <w:szCs w:val="23"/>
          <w:lang w:val="sr-Cyrl-CS"/>
        </w:rPr>
        <w:t xml:space="preserve">мере које се краткорочно </w:t>
      </w:r>
      <w:r w:rsidR="00602F89">
        <w:rPr>
          <w:color w:val="000000"/>
          <w:sz w:val="23"/>
          <w:szCs w:val="23"/>
          <w:lang w:val="sr-Cyrl-CS"/>
        </w:rPr>
        <w:t>предузимају у циљу смањења ризика или трајања прекорачења.У току је израда  Плана квалитета ваздуха са циљем да се постигну одговарајуће граничне вредности или циљане вредности утврђене Уредбама о условима за мониторинг и захтевима квалитета ваздуха (''Сл.гл. РС'' бр. 11/10, 75/10 и 63/13).</w:t>
      </w:r>
    </w:p>
    <w:sectPr w:rsidR="002F70F5" w:rsidSect="008045E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86" w:rsidRDefault="00CA1C86" w:rsidP="00F455C3">
      <w:r>
        <w:separator/>
      </w:r>
    </w:p>
  </w:endnote>
  <w:endnote w:type="continuationSeparator" w:id="0">
    <w:p w:rsidR="00CA1C86" w:rsidRDefault="00CA1C86" w:rsidP="00F4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DAIPI+TimesNewRoman">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CC" w:rsidRDefault="00D477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626"/>
      <w:docPartObj>
        <w:docPartGallery w:val="Page Numbers (Bottom of Page)"/>
        <w:docPartUnique/>
      </w:docPartObj>
    </w:sdtPr>
    <w:sdtEndPr/>
    <w:sdtContent>
      <w:p w:rsidR="00A73104" w:rsidRDefault="00FB6BBA">
        <w:pPr>
          <w:pStyle w:val="Footer"/>
          <w:jc w:val="center"/>
        </w:pPr>
        <w:r>
          <w:fldChar w:fldCharType="begin"/>
        </w:r>
        <w:r>
          <w:instrText xml:space="preserve"> PAGE   \* MERGEFORMAT </w:instrText>
        </w:r>
        <w:r>
          <w:fldChar w:fldCharType="separate"/>
        </w:r>
        <w:r w:rsidR="006A5FBB">
          <w:rPr>
            <w:noProof/>
          </w:rPr>
          <w:t>2</w:t>
        </w:r>
        <w:r>
          <w:rPr>
            <w:noProof/>
          </w:rPr>
          <w:fldChar w:fldCharType="end"/>
        </w:r>
      </w:p>
    </w:sdtContent>
  </w:sdt>
  <w:p w:rsidR="00A73104" w:rsidRDefault="00A731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CC" w:rsidRDefault="00D47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86" w:rsidRDefault="00CA1C86" w:rsidP="00F455C3">
      <w:r>
        <w:separator/>
      </w:r>
    </w:p>
  </w:footnote>
  <w:footnote w:type="continuationSeparator" w:id="0">
    <w:p w:rsidR="00CA1C86" w:rsidRDefault="00CA1C86" w:rsidP="00F455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CC" w:rsidRDefault="00D47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04" w:rsidRDefault="00A73104" w:rsidP="008045E1">
    <w:pPr>
      <w:pStyle w:val="Header"/>
      <w:tabs>
        <w:tab w:val="clear" w:pos="4320"/>
        <w:tab w:val="clear" w:pos="8640"/>
        <w:tab w:val="left" w:pos="7159"/>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CC" w:rsidRDefault="00D47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744E1"/>
    <w:multiLevelType w:val="hybridMultilevel"/>
    <w:tmpl w:val="E200D6DE"/>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nsid w:val="2EED74F1"/>
    <w:multiLevelType w:val="hybridMultilevel"/>
    <w:tmpl w:val="BFD60E3C"/>
    <w:lvl w:ilvl="0" w:tplc="161A5712">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4079C"/>
    <w:multiLevelType w:val="hybridMultilevel"/>
    <w:tmpl w:val="17E878DA"/>
    <w:lvl w:ilvl="0" w:tplc="F25EB78C">
      <w:start w:val="1"/>
      <w:numFmt w:val="upperRoman"/>
      <w:lvlText w:val="%1."/>
      <w:lvlJc w:val="left"/>
      <w:pPr>
        <w:ind w:left="128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571875"/>
    <w:multiLevelType w:val="hybridMultilevel"/>
    <w:tmpl w:val="FF6EE234"/>
    <w:lvl w:ilvl="0" w:tplc="5FF824D0">
      <w:start w:val="1"/>
      <w:numFmt w:val="bullet"/>
      <w:lvlText w:val=""/>
      <w:lvlJc w:val="left"/>
      <w:pPr>
        <w:tabs>
          <w:tab w:val="num" w:pos="720"/>
        </w:tabs>
        <w:ind w:left="720" w:hanging="360"/>
      </w:pPr>
      <w:rPr>
        <w:rFonts w:ascii="Wingdings 3" w:hAnsi="Wingdings 3" w:hint="default"/>
      </w:rPr>
    </w:lvl>
    <w:lvl w:ilvl="1" w:tplc="B4E688FE" w:tentative="1">
      <w:start w:val="1"/>
      <w:numFmt w:val="bullet"/>
      <w:lvlText w:val=""/>
      <w:lvlJc w:val="left"/>
      <w:pPr>
        <w:tabs>
          <w:tab w:val="num" w:pos="1440"/>
        </w:tabs>
        <w:ind w:left="1440" w:hanging="360"/>
      </w:pPr>
      <w:rPr>
        <w:rFonts w:ascii="Wingdings 3" w:hAnsi="Wingdings 3" w:hint="default"/>
      </w:rPr>
    </w:lvl>
    <w:lvl w:ilvl="2" w:tplc="15BAD9EA" w:tentative="1">
      <w:start w:val="1"/>
      <w:numFmt w:val="bullet"/>
      <w:lvlText w:val=""/>
      <w:lvlJc w:val="left"/>
      <w:pPr>
        <w:tabs>
          <w:tab w:val="num" w:pos="2160"/>
        </w:tabs>
        <w:ind w:left="2160" w:hanging="360"/>
      </w:pPr>
      <w:rPr>
        <w:rFonts w:ascii="Wingdings 3" w:hAnsi="Wingdings 3" w:hint="default"/>
      </w:rPr>
    </w:lvl>
    <w:lvl w:ilvl="3" w:tplc="690E942E" w:tentative="1">
      <w:start w:val="1"/>
      <w:numFmt w:val="bullet"/>
      <w:lvlText w:val=""/>
      <w:lvlJc w:val="left"/>
      <w:pPr>
        <w:tabs>
          <w:tab w:val="num" w:pos="2880"/>
        </w:tabs>
        <w:ind w:left="2880" w:hanging="360"/>
      </w:pPr>
      <w:rPr>
        <w:rFonts w:ascii="Wingdings 3" w:hAnsi="Wingdings 3" w:hint="default"/>
      </w:rPr>
    </w:lvl>
    <w:lvl w:ilvl="4" w:tplc="13D06CB2" w:tentative="1">
      <w:start w:val="1"/>
      <w:numFmt w:val="bullet"/>
      <w:lvlText w:val=""/>
      <w:lvlJc w:val="left"/>
      <w:pPr>
        <w:tabs>
          <w:tab w:val="num" w:pos="3600"/>
        </w:tabs>
        <w:ind w:left="3600" w:hanging="360"/>
      </w:pPr>
      <w:rPr>
        <w:rFonts w:ascii="Wingdings 3" w:hAnsi="Wingdings 3" w:hint="default"/>
      </w:rPr>
    </w:lvl>
    <w:lvl w:ilvl="5" w:tplc="809426C4" w:tentative="1">
      <w:start w:val="1"/>
      <w:numFmt w:val="bullet"/>
      <w:lvlText w:val=""/>
      <w:lvlJc w:val="left"/>
      <w:pPr>
        <w:tabs>
          <w:tab w:val="num" w:pos="4320"/>
        </w:tabs>
        <w:ind w:left="4320" w:hanging="360"/>
      </w:pPr>
      <w:rPr>
        <w:rFonts w:ascii="Wingdings 3" w:hAnsi="Wingdings 3" w:hint="default"/>
      </w:rPr>
    </w:lvl>
    <w:lvl w:ilvl="6" w:tplc="B1AA7B9A" w:tentative="1">
      <w:start w:val="1"/>
      <w:numFmt w:val="bullet"/>
      <w:lvlText w:val=""/>
      <w:lvlJc w:val="left"/>
      <w:pPr>
        <w:tabs>
          <w:tab w:val="num" w:pos="5040"/>
        </w:tabs>
        <w:ind w:left="5040" w:hanging="360"/>
      </w:pPr>
      <w:rPr>
        <w:rFonts w:ascii="Wingdings 3" w:hAnsi="Wingdings 3" w:hint="default"/>
      </w:rPr>
    </w:lvl>
    <w:lvl w:ilvl="7" w:tplc="518CEE80" w:tentative="1">
      <w:start w:val="1"/>
      <w:numFmt w:val="bullet"/>
      <w:lvlText w:val=""/>
      <w:lvlJc w:val="left"/>
      <w:pPr>
        <w:tabs>
          <w:tab w:val="num" w:pos="5760"/>
        </w:tabs>
        <w:ind w:left="5760" w:hanging="360"/>
      </w:pPr>
      <w:rPr>
        <w:rFonts w:ascii="Wingdings 3" w:hAnsi="Wingdings 3" w:hint="default"/>
      </w:rPr>
    </w:lvl>
    <w:lvl w:ilvl="8" w:tplc="556EBE54" w:tentative="1">
      <w:start w:val="1"/>
      <w:numFmt w:val="bullet"/>
      <w:lvlText w:val=""/>
      <w:lvlJc w:val="left"/>
      <w:pPr>
        <w:tabs>
          <w:tab w:val="num" w:pos="6480"/>
        </w:tabs>
        <w:ind w:left="6480" w:hanging="360"/>
      </w:pPr>
      <w:rPr>
        <w:rFonts w:ascii="Wingdings 3" w:hAnsi="Wingdings 3" w:hint="default"/>
      </w:rPr>
    </w:lvl>
  </w:abstractNum>
  <w:abstractNum w:abstractNumId="4">
    <w:nsid w:val="47B812BB"/>
    <w:multiLevelType w:val="hybridMultilevel"/>
    <w:tmpl w:val="17E878DA"/>
    <w:lvl w:ilvl="0" w:tplc="F25EB78C">
      <w:start w:val="1"/>
      <w:numFmt w:val="upperRoman"/>
      <w:lvlText w:val="%1."/>
      <w:lvlJc w:val="left"/>
      <w:pPr>
        <w:ind w:left="128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47360"/>
    <w:multiLevelType w:val="hybridMultilevel"/>
    <w:tmpl w:val="FC3AF51E"/>
    <w:lvl w:ilvl="0" w:tplc="5DF6FEA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B673FA"/>
    <w:multiLevelType w:val="hybridMultilevel"/>
    <w:tmpl w:val="17E878DA"/>
    <w:lvl w:ilvl="0" w:tplc="F25EB78C">
      <w:start w:val="1"/>
      <w:numFmt w:val="upperRoman"/>
      <w:lvlText w:val="%1."/>
      <w:lvlJc w:val="left"/>
      <w:pPr>
        <w:ind w:left="128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84F96"/>
    <w:multiLevelType w:val="hybridMultilevel"/>
    <w:tmpl w:val="17E878DA"/>
    <w:lvl w:ilvl="0" w:tplc="F25EB78C">
      <w:start w:val="1"/>
      <w:numFmt w:val="upperRoman"/>
      <w:lvlText w:val="%1."/>
      <w:lvlJc w:val="left"/>
      <w:pPr>
        <w:ind w:left="128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DC530D"/>
    <w:multiLevelType w:val="hybridMultilevel"/>
    <w:tmpl w:val="17E878DA"/>
    <w:lvl w:ilvl="0" w:tplc="F25EB78C">
      <w:start w:val="1"/>
      <w:numFmt w:val="upperRoman"/>
      <w:lvlText w:val="%1."/>
      <w:lvlJc w:val="left"/>
      <w:pPr>
        <w:ind w:left="128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893340"/>
    <w:multiLevelType w:val="hybridMultilevel"/>
    <w:tmpl w:val="D08C3EF8"/>
    <w:lvl w:ilvl="0" w:tplc="45D69510">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5"/>
  </w:num>
  <w:num w:numId="4">
    <w:abstractNumId w:val="6"/>
  </w:num>
  <w:num w:numId="5">
    <w:abstractNumId w:val="7"/>
  </w:num>
  <w:num w:numId="6">
    <w:abstractNumId w:val="8"/>
  </w:num>
  <w:num w:numId="7">
    <w:abstractNumId w:val="4"/>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7D"/>
    <w:rsid w:val="00025549"/>
    <w:rsid w:val="00062B71"/>
    <w:rsid w:val="000713F0"/>
    <w:rsid w:val="0007326E"/>
    <w:rsid w:val="00082C4A"/>
    <w:rsid w:val="000A742B"/>
    <w:rsid w:val="000C4FB4"/>
    <w:rsid w:val="000F232A"/>
    <w:rsid w:val="00122FA7"/>
    <w:rsid w:val="00172BD4"/>
    <w:rsid w:val="001F687E"/>
    <w:rsid w:val="00205C5A"/>
    <w:rsid w:val="0023789F"/>
    <w:rsid w:val="002F70F5"/>
    <w:rsid w:val="00341C00"/>
    <w:rsid w:val="00357005"/>
    <w:rsid w:val="003607A0"/>
    <w:rsid w:val="0036137B"/>
    <w:rsid w:val="00380149"/>
    <w:rsid w:val="003B2A34"/>
    <w:rsid w:val="003C189B"/>
    <w:rsid w:val="003D00D5"/>
    <w:rsid w:val="003D4B9C"/>
    <w:rsid w:val="003F16B0"/>
    <w:rsid w:val="00426941"/>
    <w:rsid w:val="00464443"/>
    <w:rsid w:val="00465BA1"/>
    <w:rsid w:val="004C6927"/>
    <w:rsid w:val="005B1320"/>
    <w:rsid w:val="005E2B7A"/>
    <w:rsid w:val="00602F89"/>
    <w:rsid w:val="0066631E"/>
    <w:rsid w:val="006A5FBB"/>
    <w:rsid w:val="006D36AE"/>
    <w:rsid w:val="006E1B2B"/>
    <w:rsid w:val="00705214"/>
    <w:rsid w:val="007100AA"/>
    <w:rsid w:val="007228CB"/>
    <w:rsid w:val="007A30C7"/>
    <w:rsid w:val="007D6BFD"/>
    <w:rsid w:val="008045E1"/>
    <w:rsid w:val="00807AFE"/>
    <w:rsid w:val="008118DB"/>
    <w:rsid w:val="00985FD3"/>
    <w:rsid w:val="00A07835"/>
    <w:rsid w:val="00A2204B"/>
    <w:rsid w:val="00A73104"/>
    <w:rsid w:val="00A97845"/>
    <w:rsid w:val="00AD01B3"/>
    <w:rsid w:val="00B01B72"/>
    <w:rsid w:val="00B0431F"/>
    <w:rsid w:val="00BB1746"/>
    <w:rsid w:val="00BE62B3"/>
    <w:rsid w:val="00BF1DE3"/>
    <w:rsid w:val="00C47B73"/>
    <w:rsid w:val="00C53F9B"/>
    <w:rsid w:val="00C8607D"/>
    <w:rsid w:val="00C96FB5"/>
    <w:rsid w:val="00CA1C86"/>
    <w:rsid w:val="00D059CE"/>
    <w:rsid w:val="00D477CC"/>
    <w:rsid w:val="00D93A6C"/>
    <w:rsid w:val="00E62BC5"/>
    <w:rsid w:val="00EB091F"/>
    <w:rsid w:val="00EC7E57"/>
    <w:rsid w:val="00F067E6"/>
    <w:rsid w:val="00F455C3"/>
    <w:rsid w:val="00F624CD"/>
    <w:rsid w:val="00F82DFE"/>
    <w:rsid w:val="00FB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607D"/>
    <w:pPr>
      <w:keepNext/>
      <w:outlineLvl w:val="0"/>
    </w:pPr>
    <w:rPr>
      <w:b/>
      <w:bCs/>
    </w:rPr>
  </w:style>
  <w:style w:type="paragraph" w:styleId="Heading2">
    <w:name w:val="heading 2"/>
    <w:basedOn w:val="Normal"/>
    <w:next w:val="Normal"/>
    <w:link w:val="Heading2Char"/>
    <w:qFormat/>
    <w:rsid w:val="00C8607D"/>
    <w:pPr>
      <w:keepNext/>
      <w:ind w:left="360"/>
      <w:outlineLvl w:val="1"/>
    </w:pPr>
    <w:rPr>
      <w:b/>
      <w:bCs/>
    </w:rPr>
  </w:style>
  <w:style w:type="paragraph" w:styleId="Heading6">
    <w:name w:val="heading 6"/>
    <w:basedOn w:val="Normal"/>
    <w:next w:val="Normal"/>
    <w:link w:val="Heading6Char"/>
    <w:qFormat/>
    <w:rsid w:val="00C8607D"/>
    <w:pPr>
      <w:keepNext/>
      <w:jc w:val="center"/>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07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8607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C8607D"/>
    <w:rPr>
      <w:rFonts w:ascii="Arial" w:eastAsia="Times New Roman" w:hAnsi="Arial" w:cs="Arial"/>
      <w:b/>
      <w:bCs/>
      <w:sz w:val="20"/>
      <w:szCs w:val="24"/>
    </w:rPr>
  </w:style>
  <w:style w:type="paragraph" w:styleId="Header">
    <w:name w:val="header"/>
    <w:basedOn w:val="Normal"/>
    <w:link w:val="HeaderChar"/>
    <w:rsid w:val="00C8607D"/>
    <w:pPr>
      <w:tabs>
        <w:tab w:val="center" w:pos="4320"/>
        <w:tab w:val="right" w:pos="8640"/>
      </w:tabs>
    </w:pPr>
  </w:style>
  <w:style w:type="character" w:customStyle="1" w:styleId="HeaderChar">
    <w:name w:val="Header Char"/>
    <w:basedOn w:val="DefaultParagraphFont"/>
    <w:link w:val="Header"/>
    <w:rsid w:val="00C8607D"/>
    <w:rPr>
      <w:rFonts w:ascii="Times New Roman" w:eastAsia="Times New Roman" w:hAnsi="Times New Roman" w:cs="Times New Roman"/>
      <w:sz w:val="24"/>
      <w:szCs w:val="24"/>
    </w:rPr>
  </w:style>
  <w:style w:type="paragraph" w:styleId="NormalWeb">
    <w:name w:val="Normal (Web)"/>
    <w:basedOn w:val="Normal"/>
    <w:uiPriority w:val="99"/>
    <w:unhideWhenUsed/>
    <w:rsid w:val="00C8607D"/>
    <w:pPr>
      <w:spacing w:before="100" w:beforeAutospacing="1" w:after="100" w:afterAutospacing="1"/>
    </w:pPr>
  </w:style>
  <w:style w:type="table" w:styleId="TableGrid">
    <w:name w:val="Table Grid"/>
    <w:basedOn w:val="TableNormal"/>
    <w:uiPriority w:val="59"/>
    <w:rsid w:val="00C86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607D"/>
    <w:rPr>
      <w:rFonts w:ascii="Tahoma" w:hAnsi="Tahoma" w:cs="Tahoma"/>
      <w:sz w:val="16"/>
      <w:szCs w:val="16"/>
    </w:rPr>
  </w:style>
  <w:style w:type="character" w:customStyle="1" w:styleId="BalloonTextChar">
    <w:name w:val="Balloon Text Char"/>
    <w:basedOn w:val="DefaultParagraphFont"/>
    <w:link w:val="BalloonText"/>
    <w:uiPriority w:val="99"/>
    <w:semiHidden/>
    <w:rsid w:val="00C8607D"/>
    <w:rPr>
      <w:rFonts w:ascii="Tahoma" w:eastAsia="Times New Roman" w:hAnsi="Tahoma" w:cs="Tahoma"/>
      <w:sz w:val="16"/>
      <w:szCs w:val="16"/>
    </w:rPr>
  </w:style>
  <w:style w:type="paragraph" w:customStyle="1" w:styleId="Pa7">
    <w:name w:val="Pa7"/>
    <w:basedOn w:val="Normal"/>
    <w:next w:val="Normal"/>
    <w:uiPriority w:val="99"/>
    <w:rsid w:val="00AD01B3"/>
    <w:pPr>
      <w:autoSpaceDE w:val="0"/>
      <w:autoSpaceDN w:val="0"/>
      <w:adjustRightInd w:val="0"/>
      <w:spacing w:line="221" w:lineRule="atLeast"/>
    </w:pPr>
    <w:rPr>
      <w:rFonts w:ascii="Cambria" w:hAnsi="Cambria"/>
    </w:rPr>
  </w:style>
  <w:style w:type="paragraph" w:styleId="Footer">
    <w:name w:val="footer"/>
    <w:basedOn w:val="Normal"/>
    <w:link w:val="FooterChar"/>
    <w:uiPriority w:val="99"/>
    <w:unhideWhenUsed/>
    <w:rsid w:val="00F455C3"/>
    <w:pPr>
      <w:tabs>
        <w:tab w:val="center" w:pos="4680"/>
        <w:tab w:val="right" w:pos="9360"/>
      </w:tabs>
    </w:pPr>
  </w:style>
  <w:style w:type="character" w:customStyle="1" w:styleId="FooterChar">
    <w:name w:val="Footer Char"/>
    <w:basedOn w:val="DefaultParagraphFont"/>
    <w:link w:val="Footer"/>
    <w:uiPriority w:val="99"/>
    <w:rsid w:val="00F455C3"/>
    <w:rPr>
      <w:rFonts w:ascii="Times New Roman" w:eastAsia="Times New Roman" w:hAnsi="Times New Roman" w:cs="Times New Roman"/>
      <w:sz w:val="24"/>
      <w:szCs w:val="24"/>
    </w:rPr>
  </w:style>
  <w:style w:type="paragraph" w:styleId="ListParagraph">
    <w:name w:val="List Paragraph"/>
    <w:basedOn w:val="Normal"/>
    <w:uiPriority w:val="34"/>
    <w:qFormat/>
    <w:rsid w:val="00082C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607D"/>
    <w:pPr>
      <w:keepNext/>
      <w:outlineLvl w:val="0"/>
    </w:pPr>
    <w:rPr>
      <w:b/>
      <w:bCs/>
    </w:rPr>
  </w:style>
  <w:style w:type="paragraph" w:styleId="Heading2">
    <w:name w:val="heading 2"/>
    <w:basedOn w:val="Normal"/>
    <w:next w:val="Normal"/>
    <w:link w:val="Heading2Char"/>
    <w:qFormat/>
    <w:rsid w:val="00C8607D"/>
    <w:pPr>
      <w:keepNext/>
      <w:ind w:left="360"/>
      <w:outlineLvl w:val="1"/>
    </w:pPr>
    <w:rPr>
      <w:b/>
      <w:bCs/>
    </w:rPr>
  </w:style>
  <w:style w:type="paragraph" w:styleId="Heading6">
    <w:name w:val="heading 6"/>
    <w:basedOn w:val="Normal"/>
    <w:next w:val="Normal"/>
    <w:link w:val="Heading6Char"/>
    <w:qFormat/>
    <w:rsid w:val="00C8607D"/>
    <w:pPr>
      <w:keepNext/>
      <w:jc w:val="center"/>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07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8607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C8607D"/>
    <w:rPr>
      <w:rFonts w:ascii="Arial" w:eastAsia="Times New Roman" w:hAnsi="Arial" w:cs="Arial"/>
      <w:b/>
      <w:bCs/>
      <w:sz w:val="20"/>
      <w:szCs w:val="24"/>
    </w:rPr>
  </w:style>
  <w:style w:type="paragraph" w:styleId="Header">
    <w:name w:val="header"/>
    <w:basedOn w:val="Normal"/>
    <w:link w:val="HeaderChar"/>
    <w:rsid w:val="00C8607D"/>
    <w:pPr>
      <w:tabs>
        <w:tab w:val="center" w:pos="4320"/>
        <w:tab w:val="right" w:pos="8640"/>
      </w:tabs>
    </w:pPr>
  </w:style>
  <w:style w:type="character" w:customStyle="1" w:styleId="HeaderChar">
    <w:name w:val="Header Char"/>
    <w:basedOn w:val="DefaultParagraphFont"/>
    <w:link w:val="Header"/>
    <w:rsid w:val="00C8607D"/>
    <w:rPr>
      <w:rFonts w:ascii="Times New Roman" w:eastAsia="Times New Roman" w:hAnsi="Times New Roman" w:cs="Times New Roman"/>
      <w:sz w:val="24"/>
      <w:szCs w:val="24"/>
    </w:rPr>
  </w:style>
  <w:style w:type="paragraph" w:styleId="NormalWeb">
    <w:name w:val="Normal (Web)"/>
    <w:basedOn w:val="Normal"/>
    <w:uiPriority w:val="99"/>
    <w:unhideWhenUsed/>
    <w:rsid w:val="00C8607D"/>
    <w:pPr>
      <w:spacing w:before="100" w:beforeAutospacing="1" w:after="100" w:afterAutospacing="1"/>
    </w:pPr>
  </w:style>
  <w:style w:type="table" w:styleId="TableGrid">
    <w:name w:val="Table Grid"/>
    <w:basedOn w:val="TableNormal"/>
    <w:uiPriority w:val="59"/>
    <w:rsid w:val="00C860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607D"/>
    <w:rPr>
      <w:rFonts w:ascii="Tahoma" w:hAnsi="Tahoma" w:cs="Tahoma"/>
      <w:sz w:val="16"/>
      <w:szCs w:val="16"/>
    </w:rPr>
  </w:style>
  <w:style w:type="character" w:customStyle="1" w:styleId="BalloonTextChar">
    <w:name w:val="Balloon Text Char"/>
    <w:basedOn w:val="DefaultParagraphFont"/>
    <w:link w:val="BalloonText"/>
    <w:uiPriority w:val="99"/>
    <w:semiHidden/>
    <w:rsid w:val="00C8607D"/>
    <w:rPr>
      <w:rFonts w:ascii="Tahoma" w:eastAsia="Times New Roman" w:hAnsi="Tahoma" w:cs="Tahoma"/>
      <w:sz w:val="16"/>
      <w:szCs w:val="16"/>
    </w:rPr>
  </w:style>
  <w:style w:type="paragraph" w:customStyle="1" w:styleId="Pa7">
    <w:name w:val="Pa7"/>
    <w:basedOn w:val="Normal"/>
    <w:next w:val="Normal"/>
    <w:uiPriority w:val="99"/>
    <w:rsid w:val="00AD01B3"/>
    <w:pPr>
      <w:autoSpaceDE w:val="0"/>
      <w:autoSpaceDN w:val="0"/>
      <w:adjustRightInd w:val="0"/>
      <w:spacing w:line="221" w:lineRule="atLeast"/>
    </w:pPr>
    <w:rPr>
      <w:rFonts w:ascii="Cambria" w:hAnsi="Cambria"/>
    </w:rPr>
  </w:style>
  <w:style w:type="paragraph" w:styleId="Footer">
    <w:name w:val="footer"/>
    <w:basedOn w:val="Normal"/>
    <w:link w:val="FooterChar"/>
    <w:uiPriority w:val="99"/>
    <w:unhideWhenUsed/>
    <w:rsid w:val="00F455C3"/>
    <w:pPr>
      <w:tabs>
        <w:tab w:val="center" w:pos="4680"/>
        <w:tab w:val="right" w:pos="9360"/>
      </w:tabs>
    </w:pPr>
  </w:style>
  <w:style w:type="character" w:customStyle="1" w:styleId="FooterChar">
    <w:name w:val="Footer Char"/>
    <w:basedOn w:val="DefaultParagraphFont"/>
    <w:link w:val="Footer"/>
    <w:uiPriority w:val="99"/>
    <w:rsid w:val="00F455C3"/>
    <w:rPr>
      <w:rFonts w:ascii="Times New Roman" w:eastAsia="Times New Roman" w:hAnsi="Times New Roman" w:cs="Times New Roman"/>
      <w:sz w:val="24"/>
      <w:szCs w:val="24"/>
    </w:rPr>
  </w:style>
  <w:style w:type="paragraph" w:styleId="ListParagraph">
    <w:name w:val="List Paragraph"/>
    <w:basedOn w:val="Normal"/>
    <w:uiPriority w:val="34"/>
    <w:qFormat/>
    <w:rsid w:val="00082C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187136">
      <w:bodyDiv w:val="1"/>
      <w:marLeft w:val="0"/>
      <w:marRight w:val="0"/>
      <w:marTop w:val="0"/>
      <w:marBottom w:val="0"/>
      <w:divBdr>
        <w:top w:val="none" w:sz="0" w:space="0" w:color="auto"/>
        <w:left w:val="none" w:sz="0" w:space="0" w:color="auto"/>
        <w:bottom w:val="none" w:sz="0" w:space="0" w:color="auto"/>
        <w:right w:val="none" w:sz="0" w:space="0" w:color="auto"/>
      </w:divBdr>
      <w:divsChild>
        <w:div w:id="370152313">
          <w:marLeft w:val="576"/>
          <w:marRight w:val="0"/>
          <w:marTop w:val="80"/>
          <w:marBottom w:val="0"/>
          <w:divBdr>
            <w:top w:val="none" w:sz="0" w:space="0" w:color="auto"/>
            <w:left w:val="none" w:sz="0" w:space="0" w:color="auto"/>
            <w:bottom w:val="none" w:sz="0" w:space="0" w:color="auto"/>
            <w:right w:val="none" w:sz="0" w:space="0" w:color="auto"/>
          </w:divBdr>
        </w:div>
        <w:div w:id="657071996">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G:\Inverzije%20prezentacija\Trendovi2012-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Inverzije%20prezentacija\Trendovi2012-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Inverzije%20prezentacija\Trendovi2012-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Inverzije%20prezentacija\Trendovi2012-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x-none" sz="1200"/>
              <a:t>Средња</a:t>
            </a:r>
            <a:r>
              <a:rPr lang="x-none" sz="1200" baseline="0"/>
              <a:t> г</a:t>
            </a:r>
            <a:r>
              <a:rPr lang="x-none" sz="1200"/>
              <a:t>одишња вредност за</a:t>
            </a:r>
            <a:r>
              <a:rPr lang="x-none" sz="1200" baseline="0"/>
              <a:t> чађ у Ужицу</a:t>
            </a:r>
            <a:endParaRPr lang="en-US" sz="1200"/>
          </a:p>
        </c:rich>
      </c:tx>
      <c:layout>
        <c:manualLayout>
          <c:xMode val="edge"/>
          <c:yMode val="edge"/>
          <c:x val="0.20045835303766388"/>
          <c:y val="5.0455716224378992E-2"/>
        </c:manualLayout>
      </c:layout>
      <c:overlay val="0"/>
    </c:title>
    <c:autoTitleDeleted val="0"/>
    <c:plotArea>
      <c:layout/>
      <c:barChart>
        <c:barDir val="col"/>
        <c:grouping val="clustered"/>
        <c:varyColors val="0"/>
        <c:ser>
          <c:idx val="0"/>
          <c:order val="0"/>
          <c:tx>
            <c:v>godisnji</c:v>
          </c:tx>
          <c:spPr>
            <a:ln>
              <a:solidFill>
                <a:schemeClr val="tx1"/>
              </a:solidFill>
            </a:ln>
          </c:spPr>
          <c:invertIfNegative val="0"/>
          <c:cat>
            <c:numRef>
              <c:f>'UE cadj TREND'!$B$3:$B$7</c:f>
              <c:numCache>
                <c:formatCode>General</c:formatCode>
                <c:ptCount val="5"/>
                <c:pt idx="0">
                  <c:v>2012</c:v>
                </c:pt>
                <c:pt idx="1">
                  <c:v>2013</c:v>
                </c:pt>
                <c:pt idx="2">
                  <c:v>2014</c:v>
                </c:pt>
                <c:pt idx="3">
                  <c:v>2015</c:v>
                </c:pt>
                <c:pt idx="4">
                  <c:v>2016</c:v>
                </c:pt>
              </c:numCache>
            </c:numRef>
          </c:cat>
          <c:val>
            <c:numRef>
              <c:f>'UE cadj TREND'!$O$3:$O$7</c:f>
              <c:numCache>
                <c:formatCode>0.0</c:formatCode>
                <c:ptCount val="5"/>
                <c:pt idx="0">
                  <c:v>52.06564392534915</c:v>
                </c:pt>
                <c:pt idx="1">
                  <c:v>41.740143369175662</c:v>
                </c:pt>
                <c:pt idx="2">
                  <c:v>33.865488991295344</c:v>
                </c:pt>
                <c:pt idx="3">
                  <c:v>33.627306490320962</c:v>
                </c:pt>
                <c:pt idx="4">
                  <c:v>38.015100953922008</c:v>
                </c:pt>
              </c:numCache>
            </c:numRef>
          </c:val>
        </c:ser>
        <c:dLbls>
          <c:showLegendKey val="0"/>
          <c:showVal val="0"/>
          <c:showCatName val="0"/>
          <c:showSerName val="0"/>
          <c:showPercent val="0"/>
          <c:showBubbleSize val="0"/>
        </c:dLbls>
        <c:gapWidth val="150"/>
        <c:axId val="226598912"/>
        <c:axId val="226600448"/>
      </c:barChart>
      <c:catAx>
        <c:axId val="226598912"/>
        <c:scaling>
          <c:orientation val="minMax"/>
        </c:scaling>
        <c:delete val="0"/>
        <c:axPos val="b"/>
        <c:numFmt formatCode="General" sourceLinked="1"/>
        <c:majorTickMark val="out"/>
        <c:minorTickMark val="none"/>
        <c:tickLblPos val="nextTo"/>
        <c:crossAx val="226600448"/>
        <c:crosses val="autoZero"/>
        <c:auto val="1"/>
        <c:lblAlgn val="ctr"/>
        <c:lblOffset val="100"/>
        <c:noMultiLvlLbl val="0"/>
      </c:catAx>
      <c:valAx>
        <c:axId val="226600448"/>
        <c:scaling>
          <c:orientation val="minMax"/>
        </c:scaling>
        <c:delete val="0"/>
        <c:axPos val="l"/>
        <c:majorGridlines/>
        <c:numFmt formatCode="0.0" sourceLinked="1"/>
        <c:majorTickMark val="out"/>
        <c:minorTickMark val="none"/>
        <c:tickLblPos val="nextTo"/>
        <c:crossAx val="226598912"/>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x-none" sz="1200" b="1" i="0" baseline="0"/>
              <a:t>Средња годишња вредност за чађ у Севојну</a:t>
            </a:r>
            <a:endParaRPr lang="en-US" sz="1200" b="1" i="0" baseline="0"/>
          </a:p>
        </c:rich>
      </c:tx>
      <c:layout>
        <c:manualLayout>
          <c:xMode val="edge"/>
          <c:yMode val="edge"/>
          <c:x val="0.13718692310536071"/>
          <c:y val="3.7071384600625243E-2"/>
        </c:manualLayout>
      </c:layout>
      <c:overlay val="0"/>
    </c:title>
    <c:autoTitleDeleted val="0"/>
    <c:plotArea>
      <c:layout>
        <c:manualLayout>
          <c:layoutTarget val="inner"/>
          <c:xMode val="edge"/>
          <c:yMode val="edge"/>
          <c:x val="8.4668853893263757E-2"/>
          <c:y val="0.19480351414406533"/>
          <c:w val="0.87644225721784774"/>
          <c:h val="0.68921660834062359"/>
        </c:manualLayout>
      </c:layout>
      <c:barChart>
        <c:barDir val="col"/>
        <c:grouping val="clustered"/>
        <c:varyColors val="0"/>
        <c:ser>
          <c:idx val="0"/>
          <c:order val="0"/>
          <c:tx>
            <c:v>Godisnji NO2</c:v>
          </c:tx>
          <c:invertIfNegative val="0"/>
          <c:cat>
            <c:numRef>
              <c:f>'SEV cadj TREND'!$B$3:$B$7</c:f>
              <c:numCache>
                <c:formatCode>General</c:formatCode>
                <c:ptCount val="5"/>
                <c:pt idx="0">
                  <c:v>2012</c:v>
                </c:pt>
                <c:pt idx="1">
                  <c:v>2013</c:v>
                </c:pt>
                <c:pt idx="2">
                  <c:v>2014</c:v>
                </c:pt>
                <c:pt idx="3">
                  <c:v>2015</c:v>
                </c:pt>
                <c:pt idx="4">
                  <c:v>2016</c:v>
                </c:pt>
              </c:numCache>
            </c:numRef>
          </c:cat>
          <c:val>
            <c:numRef>
              <c:f>'SEV cadj TREND'!$O$3:$O$7</c:f>
              <c:numCache>
                <c:formatCode>0.0</c:formatCode>
                <c:ptCount val="5"/>
                <c:pt idx="0">
                  <c:v>31.333770375863427</c:v>
                </c:pt>
                <c:pt idx="1">
                  <c:v>22.138342602892099</c:v>
                </c:pt>
                <c:pt idx="2">
                  <c:v>23.583723616089124</c:v>
                </c:pt>
                <c:pt idx="3">
                  <c:v>19.92595581577206</c:v>
                </c:pt>
                <c:pt idx="4">
                  <c:v>25.523494118043615</c:v>
                </c:pt>
              </c:numCache>
            </c:numRef>
          </c:val>
        </c:ser>
        <c:dLbls>
          <c:showLegendKey val="0"/>
          <c:showVal val="0"/>
          <c:showCatName val="0"/>
          <c:showSerName val="0"/>
          <c:showPercent val="0"/>
          <c:showBubbleSize val="0"/>
        </c:dLbls>
        <c:gapWidth val="150"/>
        <c:axId val="226608640"/>
        <c:axId val="226610176"/>
      </c:barChart>
      <c:catAx>
        <c:axId val="226608640"/>
        <c:scaling>
          <c:orientation val="minMax"/>
        </c:scaling>
        <c:delete val="0"/>
        <c:axPos val="b"/>
        <c:numFmt formatCode="General" sourceLinked="1"/>
        <c:majorTickMark val="out"/>
        <c:minorTickMark val="none"/>
        <c:tickLblPos val="nextTo"/>
        <c:crossAx val="226610176"/>
        <c:crosses val="autoZero"/>
        <c:auto val="1"/>
        <c:lblAlgn val="ctr"/>
        <c:lblOffset val="100"/>
        <c:noMultiLvlLbl val="0"/>
      </c:catAx>
      <c:valAx>
        <c:axId val="226610176"/>
        <c:scaling>
          <c:orientation val="minMax"/>
        </c:scaling>
        <c:delete val="0"/>
        <c:axPos val="l"/>
        <c:majorGridlines/>
        <c:numFmt formatCode="0.0" sourceLinked="1"/>
        <c:majorTickMark val="out"/>
        <c:minorTickMark val="none"/>
        <c:tickLblPos val="nextTo"/>
        <c:crossAx val="226608640"/>
        <c:crosses val="autoZero"/>
        <c:crossBetween val="between"/>
      </c:valAx>
    </c:plotArea>
    <c:plotVisOnly val="1"/>
    <c:dispBlanksAs val="gap"/>
    <c:showDLblsOverMax val="0"/>
  </c:chart>
  <c:spPr>
    <a:noFill/>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x-none" sz="1200"/>
              <a:t>Годишњи</a:t>
            </a:r>
            <a:r>
              <a:rPr lang="x-none" sz="1200" baseline="0"/>
              <a:t> број дана</a:t>
            </a:r>
            <a:r>
              <a:rPr lang="sr-Latn-BA" sz="1200"/>
              <a:t>&gt; </a:t>
            </a:r>
            <a:r>
              <a:rPr lang="x-none" sz="1200"/>
              <a:t>ГВ</a:t>
            </a:r>
            <a:r>
              <a:rPr lang="sr-Latn-BA" sz="1200"/>
              <a:t> </a:t>
            </a:r>
            <a:r>
              <a:rPr lang="x-none" sz="1200"/>
              <a:t>у</a:t>
            </a:r>
            <a:r>
              <a:rPr lang="x-none" sz="1200" baseline="0"/>
              <a:t> </a:t>
            </a:r>
          </a:p>
          <a:p>
            <a:pPr>
              <a:defRPr/>
            </a:pPr>
            <a:r>
              <a:rPr lang="x-none" sz="1200" baseline="0"/>
              <a:t>Ужицу</a:t>
            </a:r>
            <a:endParaRPr lang="en-US" sz="1200"/>
          </a:p>
        </c:rich>
      </c:tx>
      <c:overlay val="0"/>
    </c:title>
    <c:autoTitleDeleted val="0"/>
    <c:plotArea>
      <c:layout/>
      <c:barChart>
        <c:barDir val="col"/>
        <c:grouping val="clustered"/>
        <c:varyColors val="0"/>
        <c:ser>
          <c:idx val="0"/>
          <c:order val="0"/>
          <c:tx>
            <c:v>godisnji</c:v>
          </c:tx>
          <c:invertIfNegative val="0"/>
          <c:cat>
            <c:numRef>
              <c:f>'UE cadj dani TREND'!$B$3:$B$7</c:f>
              <c:numCache>
                <c:formatCode>General</c:formatCode>
                <c:ptCount val="5"/>
                <c:pt idx="0">
                  <c:v>2012</c:v>
                </c:pt>
                <c:pt idx="1">
                  <c:v>2013</c:v>
                </c:pt>
                <c:pt idx="2">
                  <c:v>2014</c:v>
                </c:pt>
                <c:pt idx="3">
                  <c:v>2015</c:v>
                </c:pt>
                <c:pt idx="4">
                  <c:v>2016</c:v>
                </c:pt>
              </c:numCache>
            </c:numRef>
          </c:cat>
          <c:val>
            <c:numRef>
              <c:f>'UE cadj dani TREND'!$O$3:$O$7</c:f>
              <c:numCache>
                <c:formatCode>0.0</c:formatCode>
                <c:ptCount val="5"/>
                <c:pt idx="0">
                  <c:v>127</c:v>
                </c:pt>
                <c:pt idx="1">
                  <c:v>101</c:v>
                </c:pt>
                <c:pt idx="2">
                  <c:v>64</c:v>
                </c:pt>
                <c:pt idx="3">
                  <c:v>79</c:v>
                </c:pt>
                <c:pt idx="4">
                  <c:v>61</c:v>
                </c:pt>
              </c:numCache>
            </c:numRef>
          </c:val>
        </c:ser>
        <c:dLbls>
          <c:showLegendKey val="0"/>
          <c:showVal val="0"/>
          <c:showCatName val="0"/>
          <c:showSerName val="0"/>
          <c:showPercent val="0"/>
          <c:showBubbleSize val="0"/>
        </c:dLbls>
        <c:gapWidth val="150"/>
        <c:axId val="226617984"/>
        <c:axId val="231502208"/>
      </c:barChart>
      <c:catAx>
        <c:axId val="226617984"/>
        <c:scaling>
          <c:orientation val="minMax"/>
        </c:scaling>
        <c:delete val="0"/>
        <c:axPos val="b"/>
        <c:numFmt formatCode="General" sourceLinked="1"/>
        <c:majorTickMark val="out"/>
        <c:minorTickMark val="none"/>
        <c:tickLblPos val="nextTo"/>
        <c:crossAx val="231502208"/>
        <c:crosses val="autoZero"/>
        <c:auto val="1"/>
        <c:lblAlgn val="ctr"/>
        <c:lblOffset val="100"/>
        <c:noMultiLvlLbl val="0"/>
      </c:catAx>
      <c:valAx>
        <c:axId val="231502208"/>
        <c:scaling>
          <c:orientation val="minMax"/>
        </c:scaling>
        <c:delete val="0"/>
        <c:axPos val="l"/>
        <c:majorGridlines/>
        <c:numFmt formatCode="0.0" sourceLinked="1"/>
        <c:majorTickMark val="out"/>
        <c:minorTickMark val="none"/>
        <c:tickLblPos val="nextTo"/>
        <c:crossAx val="22661798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x-none" sz="1200"/>
              <a:t>Годишњи</a:t>
            </a:r>
            <a:r>
              <a:rPr lang="x-none" sz="1200" baseline="0"/>
              <a:t> број дана</a:t>
            </a:r>
            <a:r>
              <a:rPr lang="sr-Latn-BA" sz="1200"/>
              <a:t>&gt; </a:t>
            </a:r>
            <a:r>
              <a:rPr lang="x-none" sz="1200"/>
              <a:t>ГВ</a:t>
            </a:r>
            <a:r>
              <a:rPr lang="sr-Latn-BA" sz="1200"/>
              <a:t> </a:t>
            </a:r>
            <a:r>
              <a:rPr lang="x-none" sz="1200"/>
              <a:t>у </a:t>
            </a:r>
            <a:r>
              <a:rPr lang="x-none" sz="1200" baseline="0"/>
              <a:t>Севојну</a:t>
            </a:r>
            <a:endParaRPr lang="en-US" sz="1200"/>
          </a:p>
        </c:rich>
      </c:tx>
      <c:layout>
        <c:manualLayout>
          <c:xMode val="edge"/>
          <c:yMode val="edge"/>
          <c:x val="0.14776784997296497"/>
          <c:y val="3.1323883315892025E-2"/>
        </c:manualLayout>
      </c:layout>
      <c:overlay val="0"/>
    </c:title>
    <c:autoTitleDeleted val="0"/>
    <c:plotArea>
      <c:layout/>
      <c:barChart>
        <c:barDir val="col"/>
        <c:grouping val="clustered"/>
        <c:varyColors val="0"/>
        <c:ser>
          <c:idx val="0"/>
          <c:order val="0"/>
          <c:tx>
            <c:v>godisnji</c:v>
          </c:tx>
          <c:invertIfNegative val="0"/>
          <c:cat>
            <c:numRef>
              <c:f>'SEV cadj dani TREND (2)'!$B$3:$B$7</c:f>
              <c:numCache>
                <c:formatCode>General</c:formatCode>
                <c:ptCount val="5"/>
                <c:pt idx="0">
                  <c:v>2012</c:v>
                </c:pt>
                <c:pt idx="1">
                  <c:v>2013</c:v>
                </c:pt>
                <c:pt idx="2">
                  <c:v>2014</c:v>
                </c:pt>
                <c:pt idx="3">
                  <c:v>2015</c:v>
                </c:pt>
                <c:pt idx="4">
                  <c:v>2016</c:v>
                </c:pt>
              </c:numCache>
            </c:numRef>
          </c:cat>
          <c:val>
            <c:numRef>
              <c:f>'SEV cadj dani TREND (2)'!$O$3:$O$7</c:f>
              <c:numCache>
                <c:formatCode>0.0</c:formatCode>
                <c:ptCount val="5"/>
                <c:pt idx="0">
                  <c:v>63</c:v>
                </c:pt>
                <c:pt idx="1">
                  <c:v>39</c:v>
                </c:pt>
                <c:pt idx="2">
                  <c:v>46</c:v>
                </c:pt>
                <c:pt idx="3">
                  <c:v>56</c:v>
                </c:pt>
                <c:pt idx="4">
                  <c:v>41</c:v>
                </c:pt>
              </c:numCache>
            </c:numRef>
          </c:val>
        </c:ser>
        <c:dLbls>
          <c:showLegendKey val="0"/>
          <c:showVal val="0"/>
          <c:showCatName val="0"/>
          <c:showSerName val="0"/>
          <c:showPercent val="0"/>
          <c:showBubbleSize val="0"/>
        </c:dLbls>
        <c:gapWidth val="150"/>
        <c:axId val="231509376"/>
        <c:axId val="231523456"/>
      </c:barChart>
      <c:catAx>
        <c:axId val="231509376"/>
        <c:scaling>
          <c:orientation val="minMax"/>
        </c:scaling>
        <c:delete val="0"/>
        <c:axPos val="b"/>
        <c:numFmt formatCode="General" sourceLinked="1"/>
        <c:majorTickMark val="out"/>
        <c:minorTickMark val="none"/>
        <c:tickLblPos val="nextTo"/>
        <c:crossAx val="231523456"/>
        <c:crosses val="autoZero"/>
        <c:auto val="1"/>
        <c:lblAlgn val="ctr"/>
        <c:lblOffset val="100"/>
        <c:noMultiLvlLbl val="0"/>
      </c:catAx>
      <c:valAx>
        <c:axId val="231523456"/>
        <c:scaling>
          <c:orientation val="minMax"/>
        </c:scaling>
        <c:delete val="0"/>
        <c:axPos val="l"/>
        <c:majorGridlines/>
        <c:numFmt formatCode="0.0" sourceLinked="1"/>
        <c:majorTickMark val="out"/>
        <c:minorTickMark val="none"/>
        <c:tickLblPos val="nextTo"/>
        <c:crossAx val="2315093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8D76-E70C-44BB-A32C-C1F7051E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miladin.pecinar</dc:creator>
  <cp:lastModifiedBy>CEEFOR</cp:lastModifiedBy>
  <cp:revision>2</cp:revision>
  <cp:lastPrinted>2016-12-14T11:38:00Z</cp:lastPrinted>
  <dcterms:created xsi:type="dcterms:W3CDTF">2017-01-10T13:50:00Z</dcterms:created>
  <dcterms:modified xsi:type="dcterms:W3CDTF">2017-01-10T13:50:00Z</dcterms:modified>
</cp:coreProperties>
</file>